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firstLine="643" w:firstLineChars="200"/>
        <w:jc w:val="both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一、项目基本情况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1.采购单位：青岛开发投资有限公司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2.服务名称：香港中路56号等3处房产财产综合险</w:t>
      </w:r>
    </w:p>
    <w:p>
      <w:pPr>
        <w:widowControl/>
        <w:ind w:firstLine="64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3.投保标的：房屋建筑（香港中路56号等3处房产）</w:t>
      </w:r>
    </w:p>
    <w:tbl>
      <w:tblPr>
        <w:tblStyle w:val="6"/>
        <w:tblW w:w="7796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2099"/>
        <w:gridCol w:w="2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投保标的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标的坐落地址</w:t>
            </w: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金光大厦10-12层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香港中路56号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8,187,800.00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八大关宾馆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山海关路19号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1,886,047,300.00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帝威大厦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山东路12号甲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126,021,000.00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2,020,256,100.00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4.标的坐落地址：投保标的所列明标的场所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5.保险金额：2,020,256,100元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6.服务内容：以上标的地址的财产综合险；每次事故免赔额：人民币1000元或者损失金额的5%，两者以高者为准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7.服务地点：保险所列明标的场所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8.采购预算金额：168691.38元</w:t>
      </w:r>
    </w:p>
    <w:p>
      <w:pPr>
        <w:widowControl/>
        <w:spacing w:line="56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二、申请人的资格要求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国内注册，经中国银行保险监督管理委员会批准，具有保险业务经营许可证的保险公司。</w:t>
      </w:r>
    </w:p>
    <w:p>
      <w:pPr>
        <w:widowControl/>
        <w:spacing w:line="56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三、服务要求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1.服务要求：在我司保险期限关于保险的一切变更事宜及出险理赔事宜，做到第一时间与我司人员对接。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2.服务期限：服务期限为1年。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3.人员配备要求：承保人员1名、理赔服务人员1名。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4.服务标准：及时、便捷处理理赔案件。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5.付款方式：出具保单后一次性付款。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四、报价要求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1.报价应为含税全包价，报价应包括但不限于投保标的、保险费率、总保费。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2.报价不得高于采购预算金额，否则报价无效。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3.付款方式：出具保单后一次性付款。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4.报价文件资料包括：营业执照、资质证明文件、报价承诺函（附件1）、报价单（附件2）等。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以上材料需加盖公章并装订成册（营业执照、资质证明可提供复印件并加盖公章），密封并加盖骑缝章。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五、中标确定方式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本次询价采用合理低价法中标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2.如出现相同最低报价，由注册资本金额高的报价单位中标。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六、报价截止时间、形式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1.报价截止时间：2024年5月9日14:00。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2.报价形式：报价文件可采取邮寄或现场递交的形式。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3.地点：青岛市香港东路195号上实中心T2楼8楼。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未及时送达或不满足询价公告要求的报价文件将被拒绝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七、公告期限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自本项目公告发出之日起至报价截止时间止。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八、联系方式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联系人：胡嵩，联系方式：18678976618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附件：1.报价承诺函</w:t>
      </w:r>
    </w:p>
    <w:p>
      <w:pPr>
        <w:widowControl/>
        <w:spacing w:line="580" w:lineRule="exact"/>
        <w:ind w:firstLine="1600" w:firstLineChars="5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2.报价单</w:t>
      </w:r>
    </w:p>
    <w:p>
      <w:pPr>
        <w:widowControl/>
        <w:spacing w:line="580" w:lineRule="exact"/>
        <w:ind w:firstLine="1600" w:firstLineChars="5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3.投标文件包装袋密封件正面和封口格式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采购单位：青岛开发投资有限公司</w:t>
      </w:r>
    </w:p>
    <w:p>
      <w:pPr>
        <w:widowControl/>
        <w:spacing w:line="580" w:lineRule="exact"/>
        <w:ind w:firstLine="4006" w:firstLineChars="1252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日期：2024年5月6日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附件、表格详见链接：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YmQ4Mjg4OWUwMGFkNDQ5Y2U4YjhiMDJjMmJmNTIifQ=="/>
  </w:docVars>
  <w:rsids>
    <w:rsidRoot w:val="00221AF9"/>
    <w:rsid w:val="000774FA"/>
    <w:rsid w:val="000923A5"/>
    <w:rsid w:val="00095235"/>
    <w:rsid w:val="000E6246"/>
    <w:rsid w:val="0010212F"/>
    <w:rsid w:val="00113F38"/>
    <w:rsid w:val="001F2654"/>
    <w:rsid w:val="00221AF9"/>
    <w:rsid w:val="00334564"/>
    <w:rsid w:val="00345217"/>
    <w:rsid w:val="00380683"/>
    <w:rsid w:val="003B5B5A"/>
    <w:rsid w:val="003E5159"/>
    <w:rsid w:val="00422E98"/>
    <w:rsid w:val="004617DE"/>
    <w:rsid w:val="00464C8F"/>
    <w:rsid w:val="0047090E"/>
    <w:rsid w:val="004D3A74"/>
    <w:rsid w:val="004F3228"/>
    <w:rsid w:val="005212C5"/>
    <w:rsid w:val="005C23F9"/>
    <w:rsid w:val="005E3873"/>
    <w:rsid w:val="00602D75"/>
    <w:rsid w:val="00630CB2"/>
    <w:rsid w:val="00815D43"/>
    <w:rsid w:val="008500BC"/>
    <w:rsid w:val="0089704A"/>
    <w:rsid w:val="00986E63"/>
    <w:rsid w:val="009B497B"/>
    <w:rsid w:val="00A015FB"/>
    <w:rsid w:val="00A05114"/>
    <w:rsid w:val="00AE6D54"/>
    <w:rsid w:val="00C129FF"/>
    <w:rsid w:val="00CA5A52"/>
    <w:rsid w:val="00D47782"/>
    <w:rsid w:val="00D662D7"/>
    <w:rsid w:val="00EE235A"/>
    <w:rsid w:val="00EE74B4"/>
    <w:rsid w:val="00F04724"/>
    <w:rsid w:val="00FB7B91"/>
    <w:rsid w:val="038A3B16"/>
    <w:rsid w:val="0F4E26AD"/>
    <w:rsid w:val="1B8346D9"/>
    <w:rsid w:val="1D5C26A7"/>
    <w:rsid w:val="20D42515"/>
    <w:rsid w:val="42C26144"/>
    <w:rsid w:val="42E701E5"/>
    <w:rsid w:val="4B5E2EAD"/>
    <w:rsid w:val="4BB926B3"/>
    <w:rsid w:val="4BCE772F"/>
    <w:rsid w:val="4C5F3C45"/>
    <w:rsid w:val="503F7670"/>
    <w:rsid w:val="51362D26"/>
    <w:rsid w:val="584B2C69"/>
    <w:rsid w:val="5FA60717"/>
    <w:rsid w:val="65F17AFD"/>
    <w:rsid w:val="760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E9C9-74F9-4BDC-B592-1204A939C624}">
  <ds:schemaRefs/>
</ds:datastoreItem>
</file>