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color w:val="333333"/>
          <w:kern w:val="0"/>
          <w:sz w:val="44"/>
          <w:szCs w:val="44"/>
        </w:rPr>
      </w:pPr>
      <w:r>
        <w:rPr>
          <w:rFonts w:hint="eastAsia" w:ascii="方正小标宋_GBK" w:hAnsi="方正小标宋_GBK" w:eastAsia="方正小标宋_GBK" w:cs="方正小标宋_GBK"/>
          <w:color w:val="333333"/>
          <w:kern w:val="0"/>
          <w:sz w:val="44"/>
          <w:szCs w:val="44"/>
        </w:rPr>
        <w:t>青岛城投商业资产运营管理集团有限公司</w:t>
      </w:r>
    </w:p>
    <w:p>
      <w:pPr>
        <w:spacing w:line="560" w:lineRule="exact"/>
        <w:jc w:val="center"/>
        <w:rPr>
          <w:rFonts w:ascii="方正小标宋_GBK" w:hAnsi="方正小标宋_GBK" w:eastAsia="方正小标宋_GBK" w:cs="方正小标宋_GBK"/>
          <w:b/>
          <w:color w:val="333333"/>
          <w:kern w:val="0"/>
          <w:sz w:val="44"/>
          <w:szCs w:val="44"/>
        </w:rPr>
      </w:pPr>
      <w:r>
        <w:rPr>
          <w:rFonts w:hint="eastAsia" w:ascii="方正小标宋_GBK" w:hAnsi="方正小标宋_GBK" w:eastAsia="方正小标宋_GBK" w:cs="方正小标宋_GBK"/>
          <w:color w:val="333333"/>
          <w:kern w:val="0"/>
          <w:sz w:val="44"/>
          <w:szCs w:val="44"/>
        </w:rPr>
        <w:t>选聘安全技术</w:t>
      </w:r>
      <w:r>
        <w:rPr>
          <w:rFonts w:hint="eastAsia" w:ascii="方正小标宋_GBK" w:hAnsi="方正小标宋_GBK" w:eastAsia="方正小标宋_GBK" w:cs="方正小标宋_GBK"/>
          <w:sz w:val="44"/>
          <w:szCs w:val="44"/>
        </w:rPr>
        <w:t>服务机构询价</w:t>
      </w:r>
      <w:r>
        <w:rPr>
          <w:rFonts w:hint="eastAsia" w:ascii="方正小标宋_GBK" w:hAnsi="方正小标宋_GBK" w:eastAsia="方正小标宋_GBK" w:cs="方正小标宋_GBK"/>
          <w:color w:val="333333"/>
          <w:kern w:val="0"/>
          <w:sz w:val="44"/>
          <w:szCs w:val="44"/>
        </w:rPr>
        <w:t>采购公告</w:t>
      </w:r>
    </w:p>
    <w:p>
      <w:pPr>
        <w:spacing w:line="560" w:lineRule="exact"/>
        <w:ind w:firstLine="640" w:firstLineChars="200"/>
        <w:jc w:val="center"/>
        <w:rPr>
          <w:rFonts w:ascii="方正小标宋_GBK" w:hAnsi="黑体" w:eastAsia="方正小标宋_GBK"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1.采购单位：青岛城投商业资产运营管理集团有限公司</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2.服务名称：青岛城投商业资产运营管理集团有限公司选聘安全技术服务机构项目</w:t>
      </w:r>
    </w:p>
    <w:p>
      <w:pPr>
        <w:spacing w:line="560" w:lineRule="exact"/>
        <w:ind w:firstLine="640" w:firstLineChars="200"/>
        <w:rPr>
          <w:rFonts w:ascii="仿宋_GB2312" w:hAnsi="仿宋_GB2312" w:eastAsia="仿宋_GB2312" w:cs="仿宋_GB2312"/>
          <w:sz w:val="32"/>
          <w:szCs w:val="32"/>
        </w:rPr>
      </w:pPr>
      <w:r>
        <w:rPr>
          <w:rFonts w:hint="eastAsia" w:ascii="仿宋_GB2312" w:hAnsi="黑体" w:eastAsia="仿宋_GB2312" w:cs="黑体"/>
          <w:sz w:val="32"/>
          <w:szCs w:val="32"/>
        </w:rPr>
        <w:t>3.服务内容：依据最新版《中华人民共和国安全生产法》、《山东省安全生产条例》、《山东省生产经营单位安全生产主体责任规定》（省政府357令）等国家、省、市现行的相关法律、法规、条例等规范性文件规定和</w:t>
      </w:r>
      <w:r>
        <w:rPr>
          <w:rFonts w:hint="eastAsia" w:ascii="仿宋_GB2312" w:hAnsi="仿宋_GB2312" w:eastAsia="仿宋_GB2312" w:cs="仿宋_GB2312"/>
          <w:sz w:val="32"/>
          <w:szCs w:val="32"/>
        </w:rPr>
        <w:t>省市安全生产治本攻坚三年行动计划（2024-2026）</w:t>
      </w:r>
      <w:r>
        <w:rPr>
          <w:rFonts w:hint="eastAsia" w:ascii="仿宋_GB2312" w:hAnsi="黑体" w:eastAsia="仿宋_GB2312" w:cs="黑体"/>
          <w:sz w:val="32"/>
          <w:szCs w:val="32"/>
        </w:rPr>
        <w:t>，结合青岛城投商业资产运营管理集团有限公司（以下简称“商管集团”）实际，协助修订完善下</w:t>
      </w:r>
      <w:r>
        <w:rPr>
          <w:rFonts w:hint="eastAsia" w:ascii="仿宋_GB2312" w:hAnsi="仿宋_GB2312" w:eastAsia="仿宋_GB2312" w:cs="仿宋_GB2312"/>
          <w:sz w:val="32"/>
          <w:szCs w:val="32"/>
        </w:rPr>
        <w:t>列内容：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全生产制度体系修订及评审。对商管集团安全生产标准化制度体系进行修订（修订专家须为青岛市应急管理局专家库成员），包括但不限于：目标职责、制度化管理、教育培训、现场管理、安全风险管控及隐患排查治理、应急管理、事故管理和持续改进 8 个核心及贯彻执行上级部署的安全生产工作文件（含安全生产主体责任落实管理保障体系、安全生产风险分级管控和事故隐患排查治理双重预防体系、全员安全生产责任清单及考核办法等）。修订后由中标方对修订制度组织进行评审，并出具评审报告（评审专家须为青岛市应急局专家库成员，若聘请单位评审，单位需具备三级及以上安全生产标准化评审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安全生产培训。根据商管集团的年度培训计划要求，计划组织安全生产培训4次，每次安排1名青岛市级应急管理局备案专家授课，内容重点针对所属各板块的行业管理特点及相关安全生产法律法规要求和事故案例等内容开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应急预案修订及评审。对商管集团应急预案（包括综合应急预案、专项应急预案或现场处置方案）进行修订（修订专家须为青岛市应急管理局专家库成员），使各级应急预案保证适宜性。修订后由中标方对修订制度组织进行评审，并出具评审报告（评审专家须为青岛市应急局专家库成员，若聘请单位评审，单位需具备三级及以上安全生产标准化评审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应急演练指导评估。根据商管集团的年度演练计划要求，实施应急演练指导评估工作，计划演练4次，每次安排至少1名青岛市级应急管理局备案专家参与，指导演练方案及脚本，现场对应急演练情况进行评估总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生产现场安全隐患排查。根据商管集团的年度检查计划要求，对商管集团及其各下属单位所有房产进行检查，计划每季度检查一次，每次计划检查4天（部分项目不定期抽查），根据采购方需求每次安排1—2名青岛市级应急管理局备案专家参与，检查后出具检查报告及提出安全管理建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（6）打造正面宣传工作亮点（列出工作方案，方案中要有具体计划，时间节点安排等）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①根据省市安全生产治本攻坚三年行动计划（2024-2026），打造商管集团正面工作亮点；通过电视、网络、报纸等青岛市级及以上官方媒体宣传商管集团安全生产文化建设（方案中具体体现官方媒体名称）。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②协助</w:t>
      </w:r>
      <w:r>
        <w:rPr>
          <w:rFonts w:hint="eastAsia" w:ascii="仿宋_GB2312" w:hAnsi="仿宋_GB2312" w:eastAsia="仿宋_GB2312" w:cs="仿宋_GB2312"/>
          <w:bCs/>
          <w:sz w:val="32"/>
          <w:szCs w:val="32"/>
        </w:rPr>
        <w:t>商管集团</w:t>
      </w:r>
      <w:r>
        <w:rPr>
          <w:rFonts w:hint="eastAsia" w:ascii="仿宋_GB2312" w:hAnsi="仿宋_GB2312" w:eastAsia="仿宋_GB2312" w:cs="仿宋_GB2312"/>
          <w:sz w:val="32"/>
          <w:szCs w:val="32"/>
        </w:rPr>
        <w:t>建立双重预防机制高效运转指标，针对房产租赁、物业、酒店等各板块各级职责和工作要求，结合全员安全生产责任制明确日常工作</w:t>
      </w:r>
      <w:r>
        <w:rPr>
          <w:rFonts w:hint="eastAsia" w:ascii="仿宋_GB2312" w:hAnsi="仿宋_GB2312" w:eastAsia="仿宋_GB2312" w:cs="仿宋_GB2312"/>
          <w:bCs/>
          <w:sz w:val="32"/>
          <w:szCs w:val="32"/>
        </w:rPr>
        <w:t>清单</w:t>
      </w:r>
      <w:r>
        <w:rPr>
          <w:rFonts w:hint="eastAsia" w:ascii="仿宋_GB2312" w:hAnsi="仿宋_GB2312" w:eastAsia="仿宋_GB2312" w:cs="仿宋_GB2312"/>
          <w:sz w:val="32"/>
          <w:szCs w:val="32"/>
        </w:rPr>
        <w:t>指标，将安全管理工作清晰化和标准化，获得青岛市级及以上行业主管部门表彰（方案中具体体现行业主管部门或官方媒体名称）。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③协助商管集团参加各级各类安全生产和应急管理竞赛活动，取</w:t>
      </w:r>
      <w:r>
        <w:rPr>
          <w:rFonts w:hint="eastAsia" w:ascii="仿宋_GB2312" w:hAnsi="仿宋_GB2312" w:eastAsia="仿宋_GB2312" w:cs="仿宋_GB2312"/>
          <w:sz w:val="32"/>
          <w:szCs w:val="32"/>
        </w:rPr>
        <w:t>得青岛市级三等奖及以上奖项（方案中应具体体现奖项名称）。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(7)每次聘请应急局专家需要提供应急局专家库名单并标识名单中专家位置作为证明材料。</w:t>
      </w:r>
    </w:p>
    <w:p>
      <w:pPr>
        <w:spacing w:line="560" w:lineRule="exact"/>
        <w:ind w:firstLine="640" w:firstLineChars="200"/>
        <w:rPr>
          <w:rFonts w:ascii="仿宋_GB2312" w:hAnsi="黑体" w:eastAsia="仿宋_GB2312" w:cs="黑体"/>
          <w:sz w:val="32"/>
          <w:szCs w:val="32"/>
        </w:rPr>
      </w:pPr>
      <w:r>
        <w:rPr>
          <w:rFonts w:hint="eastAsia" w:ascii="仿宋_GB2312" w:hAnsi="仿宋_GB2312" w:eastAsia="仿宋_GB2312" w:cs="仿宋_GB2312"/>
          <w:sz w:val="32"/>
          <w:szCs w:val="32"/>
        </w:rPr>
        <w:t>4.服务地点：商管集团本部及各单位、项目部所在地。</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5.采购预算：187000元。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1.在中华人民共和国境内注册，经营范围包含安全咨询服务相关内容的单位；</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2.单位负责人为同一人或者存在直接控股、管理关系的不同供应商，不得同时参加本项目投标。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3.投标人须提供上级政府管理机关、部门颁发的资质材料。（在报价资料中要提交）</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4.本项目不接受联合体报价。</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1.服务要求：</w:t>
      </w:r>
    </w:p>
    <w:p>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w:t>
      </w:r>
      <w:r>
        <w:rPr>
          <w:rFonts w:hint="eastAsia" w:ascii="仿宋_GB2312" w:hAnsi="黑体" w:eastAsia="仿宋_GB2312" w:cs="黑体"/>
          <w:sz w:val="32"/>
          <w:szCs w:val="32"/>
        </w:rPr>
        <w:t>安全生产制度保障体系</w:t>
      </w:r>
      <w:r>
        <w:rPr>
          <w:rFonts w:hint="eastAsia" w:ascii="仿宋" w:hAnsi="仿宋" w:eastAsia="仿宋" w:cs="仿宋"/>
          <w:color w:val="000000"/>
          <w:kern w:val="0"/>
          <w:sz w:val="32"/>
          <w:szCs w:val="32"/>
        </w:rPr>
        <w:t>。完成商管集团安</w:t>
      </w:r>
      <w:r>
        <w:rPr>
          <w:rFonts w:hint="eastAsia" w:ascii="仿宋_GB2312" w:hAnsi="黑体" w:eastAsia="仿宋_GB2312" w:cs="黑体"/>
          <w:sz w:val="32"/>
          <w:szCs w:val="32"/>
        </w:rPr>
        <w:t>全生产</w:t>
      </w:r>
      <w:r>
        <w:rPr>
          <w:rFonts w:hint="eastAsia" w:ascii="仿宋" w:hAnsi="仿宋" w:eastAsia="仿宋" w:cs="仿宋"/>
          <w:color w:val="000000"/>
          <w:kern w:val="0"/>
          <w:sz w:val="32"/>
          <w:szCs w:val="32"/>
        </w:rPr>
        <w:t>制度体系文件修订且通过评审。</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（2）安全生产应急预案编制、修订</w:t>
      </w:r>
      <w:r>
        <w:rPr>
          <w:rFonts w:hint="eastAsia" w:ascii="仿宋" w:hAnsi="仿宋" w:eastAsia="仿宋" w:cs="仿宋"/>
          <w:color w:val="000000"/>
          <w:kern w:val="0"/>
          <w:sz w:val="32"/>
          <w:szCs w:val="32"/>
        </w:rPr>
        <w:t>且通过评审</w:t>
      </w:r>
      <w:r>
        <w:rPr>
          <w:rFonts w:hint="eastAsia" w:ascii="仿宋_GB2312" w:hAnsi="黑体" w:eastAsia="仿宋_GB2312" w:cs="黑体"/>
          <w:sz w:val="32"/>
          <w:szCs w:val="32"/>
        </w:rPr>
        <w:t>。使各级应急预案保证适宜性。</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（3）应急演练指导评估。指导演练方案及脚本，现场对应急演练情况进行评估总结。</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（4）参与项目现场监管及隐患排查。检查后出具检查报告及提出安全管理建议</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（5）安全生产专题培训。授课内容重点针对所属各板块的行业管理特点及相关安全生产法律法规要求和事故案例等内容开展。</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（6）打造正面宣传工作亮点，得到青岛市级官方媒体宣传及市级安全竞赛活动三等奖及以上奖项。</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2.服务期限：1年（自合同签订并生效之日起计算）。</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3.人员配备要求</w:t>
      </w:r>
      <w:r>
        <w:rPr>
          <w:rFonts w:hint="eastAsia" w:ascii="仿宋" w:hAnsi="仿宋" w:eastAsia="仿宋" w:cs="仿宋"/>
          <w:color w:val="000000"/>
          <w:kern w:val="0"/>
          <w:sz w:val="32"/>
          <w:szCs w:val="32"/>
        </w:rPr>
        <w:t>：项目</w:t>
      </w:r>
      <w:r>
        <w:rPr>
          <w:rFonts w:hint="eastAsia" w:ascii="仿宋_GB2312" w:hAnsi="黑体" w:eastAsia="仿宋_GB2312" w:cs="黑体"/>
          <w:sz w:val="32"/>
          <w:szCs w:val="32"/>
        </w:rPr>
        <w:t>服务专家须为青岛市应急局专家库成员且与商管集团经营业态相匹配。</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4.付款方式：</w:t>
      </w:r>
    </w:p>
    <w:p>
      <w:pPr>
        <w:spacing w:line="560" w:lineRule="exact"/>
        <w:ind w:firstLine="640" w:firstLineChars="200"/>
        <w:rPr>
          <w:rFonts w:ascii="仿宋_GB2312" w:hAnsi="方正小标宋_GBK" w:eastAsia="仿宋_GB2312" w:cs="方正小标宋_GBK"/>
          <w:sz w:val="32"/>
          <w:szCs w:val="32"/>
        </w:rPr>
      </w:pPr>
      <w:r>
        <w:rPr>
          <w:rFonts w:hint="eastAsia" w:ascii="仿宋_GB2312" w:hAnsi="方正小标宋_GBK" w:eastAsia="仿宋_GB2312" w:cs="方正小标宋_GBK"/>
          <w:sz w:val="32"/>
          <w:szCs w:val="32"/>
        </w:rPr>
        <w:t>（1）采购方分两次支付服务费用；</w:t>
      </w:r>
    </w:p>
    <w:p>
      <w:pPr>
        <w:spacing w:line="560" w:lineRule="exact"/>
        <w:ind w:firstLine="640" w:firstLineChars="200"/>
        <w:rPr>
          <w:rFonts w:ascii="仿宋_GB2312" w:hAnsi="方正小标宋_GBK" w:eastAsia="仿宋_GB2312" w:cs="方正小标宋_GBK"/>
          <w:sz w:val="32"/>
          <w:szCs w:val="32"/>
        </w:rPr>
      </w:pPr>
      <w:r>
        <w:rPr>
          <w:rFonts w:hint="eastAsia" w:ascii="仿宋_GB2312" w:hAnsi="方正小标宋_GBK" w:eastAsia="仿宋_GB2312" w:cs="方正小标宋_GBK"/>
          <w:sz w:val="32"/>
          <w:szCs w:val="32"/>
        </w:rPr>
        <w:t>（2）合同执行三个月后，中标方完成合同要求的安全生产制度保障体系建设、应急预案编制及修订等工作并经采购方认可后，按该项合同签订服务费金额向采购方开具增值税专用发票，采购方于收到付款申请及发票后30个工作日内，根据中标方实际提供服务事项内容据实支付；</w:t>
      </w:r>
    </w:p>
    <w:p>
      <w:pPr>
        <w:spacing w:line="560" w:lineRule="exact"/>
        <w:ind w:firstLine="640" w:firstLineChars="200"/>
        <w:rPr>
          <w:rFonts w:ascii="仿宋_GB2312" w:hAnsi="方正小标宋_GBK" w:eastAsia="仿宋_GB2312" w:cs="方正小标宋_GBK"/>
          <w:sz w:val="32"/>
          <w:szCs w:val="32"/>
        </w:rPr>
      </w:pPr>
      <w:r>
        <w:rPr>
          <w:rFonts w:hint="eastAsia" w:ascii="仿宋_GB2312" w:hAnsi="方正小标宋_GBK" w:eastAsia="仿宋_GB2312" w:cs="方正小标宋_GBK"/>
          <w:sz w:val="32"/>
          <w:szCs w:val="32"/>
        </w:rPr>
        <w:t>（3）剩余款项待合同期满，咨询服务项目全部完成且符合合同要求并经双方确认后，中标方将未支付服务费向采购方开具增值税专用发票，采购方于收到付款申请及发票后30个工作日内一次性付清。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1.报价应为含税全包价，包括提供相关服务的所有费用。</w:t>
      </w:r>
    </w:p>
    <w:p>
      <w:pPr>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2.报价不得高于采购预算金额，否则报价无效。</w:t>
      </w:r>
    </w:p>
    <w:p>
      <w:pPr>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3.报价文件资料包括：营业执照复印件；法人代表或法人代表授权委托书及身份证复印件；</w:t>
      </w:r>
      <w:r>
        <w:rPr>
          <w:rFonts w:hint="eastAsia" w:ascii="仿宋_GB2312" w:hAnsi="仿宋" w:eastAsia="仿宋_GB2312"/>
          <w:sz w:val="32"/>
          <w:szCs w:val="32"/>
        </w:rPr>
        <w:t>上级政府管理机关、部门颁发的资质材料(原件或复印件加盖公章);</w:t>
      </w:r>
      <w:r>
        <w:rPr>
          <w:rFonts w:hint="eastAsia" w:ascii="仿宋_GB2312" w:hAnsi="仿宋" w:eastAsia="仿宋_GB2312" w:cs="仿宋"/>
          <w:color w:val="000000"/>
          <w:kern w:val="0"/>
          <w:sz w:val="32"/>
          <w:szCs w:val="32"/>
        </w:rPr>
        <w:t>采购事项报价一览表（包含具体工作方案），附件2和3，按照附件内容和格式提交。</w:t>
      </w:r>
    </w:p>
    <w:p>
      <w:pPr>
        <w:spacing w:line="560" w:lineRule="exact"/>
        <w:ind w:firstLine="640" w:firstLineChars="200"/>
        <w:rPr>
          <w:rFonts w:ascii="仿宋_GB2312" w:hAnsi="黑体" w:eastAsia="仿宋_GB2312" w:cs="黑体"/>
          <w:sz w:val="32"/>
          <w:szCs w:val="32"/>
        </w:rPr>
      </w:pPr>
      <w:r>
        <w:rPr>
          <w:rFonts w:hint="eastAsia" w:ascii="仿宋_GB2312" w:hAnsi="仿宋" w:eastAsia="仿宋_GB2312" w:cs="仿宋"/>
          <w:color w:val="000000"/>
          <w:kern w:val="0"/>
          <w:sz w:val="32"/>
          <w:szCs w:val="32"/>
        </w:rPr>
        <w:t>以上材料需加盖公章并装订成册，密封后在封面加盖骑缝</w:t>
      </w:r>
      <w:r>
        <w:rPr>
          <w:rFonts w:hint="eastAsia" w:ascii="仿宋_GB2312" w:hAnsi="黑体" w:eastAsia="仿宋_GB2312" w:cs="黑体"/>
          <w:sz w:val="32"/>
          <w:szCs w:val="32"/>
        </w:rPr>
        <w:t>章，并在封面标注项目名称（附件4）。</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中标办法</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1.本次询价采用最低价中标法确定中标单位。</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2.如出现两家或两家以上报价相等且为最低价时，</w:t>
      </w:r>
      <w:r>
        <w:rPr>
          <w:rFonts w:hint="eastAsia" w:ascii="仿宋_GB2312" w:hAnsi="仿宋" w:eastAsia="仿宋_GB2312" w:cs="仿宋"/>
          <w:color w:val="000000"/>
          <w:kern w:val="0"/>
          <w:sz w:val="32"/>
          <w:szCs w:val="32"/>
        </w:rPr>
        <w:t>按照能得到媒体宣传单位级别或青岛</w:t>
      </w:r>
      <w:r>
        <w:rPr>
          <w:rFonts w:hint="eastAsia" w:ascii="仿宋_GB2312" w:hAnsi="黑体" w:eastAsia="仿宋_GB2312" w:cs="黑体"/>
          <w:sz w:val="32"/>
          <w:szCs w:val="32"/>
        </w:rPr>
        <w:t>市级安全竞赛活动奖项高者确定中标单位。</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3.报价文件没有满足询价公告要求、材料内容不清晰、字迹图片过小无法辨识、未盖章装订成册及没有在截止日期前送达的将不予以接收。</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六、报价截止时间、形式地点</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1.报价截止时间：如参与本项目的询价请于2024年</w:t>
      </w:r>
      <w:r>
        <w:rPr>
          <w:rFonts w:hint="eastAsia" w:ascii="仿宋_GB2312" w:hAnsi="黑体" w:eastAsia="仿宋_GB2312" w:cs="黑体"/>
          <w:sz w:val="32"/>
          <w:szCs w:val="32"/>
          <w:lang w:val="en-US" w:eastAsia="zh-CN"/>
        </w:rPr>
        <w:t>4</w:t>
      </w:r>
      <w:r>
        <w:rPr>
          <w:rFonts w:hint="eastAsia" w:ascii="仿宋_GB2312" w:hAnsi="黑体" w:eastAsia="仿宋_GB2312" w:cs="黑体"/>
          <w:sz w:val="32"/>
          <w:szCs w:val="32"/>
        </w:rPr>
        <w:t>月</w:t>
      </w:r>
      <w:r>
        <w:rPr>
          <w:rFonts w:hint="eastAsia" w:ascii="仿宋_GB2312" w:hAnsi="黑体" w:eastAsia="仿宋_GB2312" w:cs="黑体"/>
          <w:sz w:val="32"/>
          <w:szCs w:val="32"/>
          <w:lang w:val="en-US" w:eastAsia="zh-CN"/>
        </w:rPr>
        <w:t>2</w:t>
      </w:r>
      <w:r>
        <w:rPr>
          <w:rFonts w:hint="eastAsia" w:ascii="仿宋_GB2312" w:hAnsi="黑体" w:eastAsia="仿宋_GB2312" w:cs="黑体"/>
          <w:sz w:val="32"/>
          <w:szCs w:val="32"/>
        </w:rPr>
        <w:t>日1</w:t>
      </w:r>
      <w:r>
        <w:rPr>
          <w:rFonts w:hint="eastAsia" w:ascii="仿宋_GB2312" w:hAnsi="黑体" w:eastAsia="仿宋_GB2312" w:cs="黑体"/>
          <w:sz w:val="32"/>
          <w:szCs w:val="32"/>
          <w:lang w:val="en-US" w:eastAsia="zh-CN"/>
        </w:rPr>
        <w:t>1</w:t>
      </w:r>
      <w:r>
        <w:rPr>
          <w:rFonts w:hint="eastAsia" w:ascii="仿宋_GB2312" w:hAnsi="黑体" w:eastAsia="仿宋_GB2312" w:cs="黑体"/>
          <w:sz w:val="32"/>
          <w:szCs w:val="32"/>
        </w:rPr>
        <w:t>:</w:t>
      </w:r>
      <w:r>
        <w:rPr>
          <w:rFonts w:hint="eastAsia" w:ascii="仿宋_GB2312" w:hAnsi="黑体" w:eastAsia="仿宋_GB2312" w:cs="黑体"/>
          <w:sz w:val="32"/>
          <w:szCs w:val="32"/>
          <w:lang w:val="en-US" w:eastAsia="zh-CN"/>
        </w:rPr>
        <w:t>0</w:t>
      </w:r>
      <w:r>
        <w:rPr>
          <w:rFonts w:hint="eastAsia" w:ascii="仿宋_GB2312" w:hAnsi="黑体" w:eastAsia="仿宋_GB2312" w:cs="黑体"/>
          <w:sz w:val="32"/>
          <w:szCs w:val="32"/>
        </w:rPr>
        <w:t>0点前将相关资料送至指定地点。</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2.报价形式：报价文件可采取邮寄或现场递交的形式。</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3.地点：青岛市崂山区香港东路195号上实中心T2楼13层</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七、公告期限</w:t>
      </w:r>
    </w:p>
    <w:p>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本项目公告自发出之日起至报价截止时间止。</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八、联系方式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收件人：柳岩        办公电话：15964980353</w:t>
      </w:r>
    </w:p>
    <w:p>
      <w:pPr>
        <w:spacing w:line="560" w:lineRule="exact"/>
        <w:ind w:firstLine="640" w:firstLine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黑体" w:eastAsia="仿宋_GB2312" w:cs="黑体"/>
          <w:sz w:val="32"/>
          <w:szCs w:val="32"/>
        </w:rPr>
        <w:t>青岛城投商业资产运营管理集团有限公司</w:t>
      </w:r>
    </w:p>
    <w:p>
      <w:pPr>
        <w:spacing w:line="560" w:lineRule="exact"/>
        <w:ind w:firstLine="640" w:firstLineChars="200"/>
        <w:jc w:val="right"/>
        <w:rPr>
          <w:rFonts w:ascii="仿宋_GB2312" w:hAnsi="宋体" w:eastAsia="仿宋_GB2312"/>
          <w:sz w:val="32"/>
          <w:szCs w:val="32"/>
        </w:rPr>
      </w:pPr>
      <w:r>
        <w:rPr>
          <w:rFonts w:hint="eastAsia" w:ascii="仿宋_GB2312" w:hAnsi="仿宋_GB2312" w:eastAsia="仿宋_GB2312" w:cs="仿宋_GB2312"/>
          <w:sz w:val="32"/>
          <w:szCs w:val="32"/>
        </w:rPr>
        <w:t>2024年3月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spacing w:line="560" w:lineRule="exact"/>
        <w:ind w:firstLine="640" w:firstLineChars="200"/>
        <w:rPr>
          <w:rFonts w:ascii="仿宋_GB2312" w:hAnsi="仿宋_GB2312" w:eastAsia="仿宋_GB2312" w:cs="仿宋_GB2312"/>
          <w:sz w:val="32"/>
          <w:szCs w:val="32"/>
        </w:rPr>
        <w:sectPr>
          <w:headerReference r:id="rId3" w:type="default"/>
          <w:footerReference r:id="rId4" w:type="default"/>
          <w:pgSz w:w="11906" w:h="16838"/>
          <w:pgMar w:top="2098" w:right="1474" w:bottom="1984" w:left="1587" w:header="851" w:footer="992" w:gutter="0"/>
          <w:pgNumType w:fmt="numberInDash"/>
          <w:cols w:space="0" w:num="1"/>
          <w:docGrid w:type="lines" w:linePitch="312" w:charSpace="0"/>
        </w:sectPr>
      </w:pPr>
    </w:p>
    <w:p>
      <w:pPr>
        <w:spacing w:line="440" w:lineRule="exact"/>
        <w:ind w:firstLine="600" w:firstLineChars="200"/>
        <w:rPr>
          <w:rFonts w:ascii="黑体" w:hAnsi="黑体" w:eastAsia="黑体"/>
          <w:sz w:val="30"/>
          <w:szCs w:val="30"/>
        </w:rPr>
      </w:pPr>
      <w:r>
        <w:rPr>
          <w:rFonts w:hint="eastAsia" w:ascii="黑体" w:hAnsi="黑体" w:eastAsia="黑体"/>
          <w:sz w:val="30"/>
          <w:szCs w:val="30"/>
        </w:rPr>
        <w:t>附件1</w:t>
      </w:r>
    </w:p>
    <w:p>
      <w:pPr>
        <w:spacing w:line="440" w:lineRule="exact"/>
        <w:ind w:firstLine="640" w:firstLineChars="200"/>
        <w:rPr>
          <w:rFonts w:ascii="黑体" w:hAnsi="黑体" w:eastAsia="黑体"/>
          <w:sz w:val="30"/>
          <w:szCs w:val="30"/>
        </w:rPr>
      </w:pPr>
      <w:r>
        <w:rPr>
          <w:rFonts w:hint="eastAsia" w:ascii="仿宋_GB2312" w:hAnsi="黑体" w:eastAsia="仿宋_GB2312" w:cs="黑体"/>
          <w:sz w:val="32"/>
          <w:szCs w:val="32"/>
        </w:rPr>
        <w:t>安全生产咨询服务采购报价单</w:t>
      </w:r>
    </w:p>
    <w:tbl>
      <w:tblPr>
        <w:tblStyle w:val="10"/>
        <w:tblW w:w="1218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64"/>
        <w:gridCol w:w="1200"/>
        <w:gridCol w:w="8827"/>
        <w:gridCol w:w="427"/>
        <w:gridCol w:w="473"/>
        <w:gridCol w:w="8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364" w:type="dxa"/>
            <w:vAlign w:val="center"/>
          </w:tcPr>
          <w:p>
            <w:pPr>
              <w:spacing w:line="360" w:lineRule="exact"/>
              <w:rPr>
                <w:rFonts w:ascii="仿宋_GB2312" w:hAnsi="仿宋_GB2312" w:eastAsia="仿宋_GB2312" w:cs="仿宋_GB2312"/>
                <w:b/>
                <w:sz w:val="22"/>
              </w:rPr>
            </w:pPr>
            <w:r>
              <w:rPr>
                <w:rFonts w:hint="eastAsia" w:ascii="仿宋_GB2312" w:hAnsi="仿宋_GB2312" w:eastAsia="仿宋_GB2312" w:cs="仿宋_GB2312"/>
                <w:b/>
                <w:sz w:val="22"/>
              </w:rPr>
              <w:t>序号</w:t>
            </w:r>
          </w:p>
        </w:tc>
        <w:tc>
          <w:tcPr>
            <w:tcW w:w="1200" w:type="dxa"/>
            <w:vAlign w:val="center"/>
          </w:tcPr>
          <w:p>
            <w:pPr>
              <w:spacing w:line="360" w:lineRule="exact"/>
              <w:rPr>
                <w:rFonts w:ascii="仿宋_GB2312" w:hAnsi="仿宋_GB2312" w:eastAsia="仿宋_GB2312" w:cs="仿宋_GB2312"/>
                <w:b/>
                <w:sz w:val="22"/>
              </w:rPr>
            </w:pPr>
            <w:r>
              <w:rPr>
                <w:rFonts w:hint="eastAsia" w:ascii="仿宋_GB2312" w:hAnsi="仿宋_GB2312" w:eastAsia="仿宋_GB2312" w:cs="仿宋_GB2312"/>
                <w:b/>
                <w:sz w:val="22"/>
              </w:rPr>
              <w:t>工作内容</w:t>
            </w:r>
          </w:p>
        </w:tc>
        <w:tc>
          <w:tcPr>
            <w:tcW w:w="8827" w:type="dxa"/>
            <w:vAlign w:val="center"/>
          </w:tcPr>
          <w:p>
            <w:pPr>
              <w:spacing w:line="360" w:lineRule="exact"/>
              <w:ind w:firstLine="440" w:firstLineChars="200"/>
              <w:jc w:val="center"/>
              <w:rPr>
                <w:rFonts w:ascii="仿宋_GB2312" w:hAnsi="仿宋_GB2312" w:eastAsia="仿宋_GB2312" w:cs="仿宋_GB2312"/>
                <w:b/>
                <w:sz w:val="22"/>
              </w:rPr>
            </w:pPr>
            <w:r>
              <w:rPr>
                <w:rFonts w:hint="eastAsia" w:ascii="仿宋_GB2312" w:hAnsi="仿宋_GB2312" w:eastAsia="仿宋_GB2312" w:cs="仿宋_GB2312"/>
                <w:b/>
                <w:sz w:val="22"/>
              </w:rPr>
              <w:t>具体内容</w:t>
            </w:r>
          </w:p>
        </w:tc>
        <w:tc>
          <w:tcPr>
            <w:tcW w:w="427" w:type="dxa"/>
            <w:vAlign w:val="center"/>
          </w:tcPr>
          <w:p>
            <w:pPr>
              <w:spacing w:line="360" w:lineRule="exact"/>
              <w:rPr>
                <w:rFonts w:ascii="仿宋_GB2312" w:hAnsi="仿宋_GB2312" w:eastAsia="仿宋_GB2312" w:cs="仿宋_GB2312"/>
                <w:b/>
                <w:sz w:val="22"/>
              </w:rPr>
            </w:pPr>
            <w:r>
              <w:rPr>
                <w:rFonts w:hint="eastAsia" w:ascii="仿宋_GB2312" w:hAnsi="仿宋_GB2312" w:eastAsia="仿宋_GB2312" w:cs="仿宋_GB2312"/>
                <w:b/>
                <w:sz w:val="22"/>
              </w:rPr>
              <w:t>单价</w:t>
            </w:r>
          </w:p>
        </w:tc>
        <w:tc>
          <w:tcPr>
            <w:tcW w:w="473" w:type="dxa"/>
            <w:vAlign w:val="center"/>
          </w:tcPr>
          <w:p>
            <w:pPr>
              <w:spacing w:line="360" w:lineRule="exact"/>
              <w:rPr>
                <w:rFonts w:ascii="仿宋_GB2312" w:hAnsi="仿宋_GB2312" w:eastAsia="仿宋_GB2312" w:cs="仿宋_GB2312"/>
                <w:b/>
                <w:sz w:val="22"/>
              </w:rPr>
            </w:pPr>
            <w:r>
              <w:rPr>
                <w:rFonts w:hint="eastAsia" w:ascii="仿宋_GB2312" w:hAnsi="仿宋_GB2312" w:eastAsia="仿宋_GB2312" w:cs="仿宋_GB2312"/>
                <w:b/>
                <w:sz w:val="22"/>
              </w:rPr>
              <w:t>总价</w:t>
            </w:r>
          </w:p>
        </w:tc>
        <w:tc>
          <w:tcPr>
            <w:tcW w:w="896" w:type="dxa"/>
            <w:vAlign w:val="center"/>
          </w:tcPr>
          <w:p>
            <w:pPr>
              <w:spacing w:line="360" w:lineRule="exact"/>
              <w:rPr>
                <w:rFonts w:ascii="仿宋_GB2312" w:hAnsi="仿宋_GB2312" w:eastAsia="仿宋_GB2312" w:cs="仿宋_GB2312"/>
                <w:b/>
                <w:sz w:val="22"/>
              </w:rPr>
            </w:pPr>
            <w:r>
              <w:rPr>
                <w:rFonts w:hint="eastAsia" w:ascii="仿宋_GB2312" w:hAnsi="仿宋_GB2312" w:eastAsia="仿宋_GB2312" w:cs="仿宋_GB2312"/>
                <w:b/>
                <w:sz w:val="22"/>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67" w:hRule="atLeast"/>
          <w:jc w:val="center"/>
        </w:trPr>
        <w:tc>
          <w:tcPr>
            <w:tcW w:w="364" w:type="dxa"/>
            <w:vAlign w:val="center"/>
          </w:tcPr>
          <w:p>
            <w:pPr>
              <w:spacing w:line="360" w:lineRule="exact"/>
              <w:ind w:firstLine="440" w:firstLineChars="20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1200"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安全生产制度体系修订及评审</w:t>
            </w:r>
          </w:p>
        </w:tc>
        <w:tc>
          <w:tcPr>
            <w:tcW w:w="8827"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对商管集团安全生产标准化制度体系进行修订（修订专家须为青岛市应急管理局专家库成员），包括但不限于：目标职责、制度化管理、教育培训、现场管理、安全风险管控及隐患排查治理、应急管理、事故管理和持续改进 8 个核心及贯彻执行上级部署的安全生产工作文件（含安全生产主体责任落实管理保障体系、安全生产风险分级管控和事故隐患排查治理双重预防体系、全员安全生产责任清单及考核办法等）。修订后由中标方对修订制度组织进行评审，并出具评审报告（评审专家须为青岛市应急局专家库成员，若聘请单位评审，单位需具备三级及以上安全生产标准化评审资格）。</w:t>
            </w:r>
          </w:p>
        </w:tc>
        <w:tc>
          <w:tcPr>
            <w:tcW w:w="427" w:type="dxa"/>
            <w:vAlign w:val="center"/>
          </w:tcPr>
          <w:p>
            <w:pPr>
              <w:spacing w:line="360" w:lineRule="exact"/>
              <w:ind w:firstLine="440" w:firstLineChars="200"/>
              <w:jc w:val="left"/>
              <w:rPr>
                <w:rFonts w:ascii="仿宋_GB2312" w:hAnsi="仿宋_GB2312" w:eastAsia="仿宋_GB2312" w:cs="仿宋_GB2312"/>
                <w:sz w:val="22"/>
                <w:szCs w:val="22"/>
              </w:rPr>
            </w:pPr>
          </w:p>
        </w:tc>
        <w:tc>
          <w:tcPr>
            <w:tcW w:w="473" w:type="dxa"/>
            <w:vAlign w:val="center"/>
          </w:tcPr>
          <w:p>
            <w:pPr>
              <w:spacing w:line="360" w:lineRule="exact"/>
              <w:ind w:firstLine="440" w:firstLineChars="200"/>
              <w:jc w:val="left"/>
              <w:rPr>
                <w:rFonts w:ascii="仿宋_GB2312" w:hAnsi="仿宋_GB2312" w:eastAsia="仿宋_GB2312" w:cs="仿宋_GB2312"/>
                <w:sz w:val="22"/>
                <w:szCs w:val="22"/>
              </w:rPr>
            </w:pPr>
          </w:p>
        </w:tc>
        <w:tc>
          <w:tcPr>
            <w:tcW w:w="896"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合同签订后三个月内完成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15" w:hRule="atLeast"/>
          <w:jc w:val="center"/>
        </w:trPr>
        <w:tc>
          <w:tcPr>
            <w:tcW w:w="364" w:type="dxa"/>
            <w:vAlign w:val="center"/>
          </w:tcPr>
          <w:p>
            <w:pPr>
              <w:spacing w:line="360" w:lineRule="exact"/>
              <w:ind w:firstLine="440" w:firstLineChars="20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1200"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安全生产培训</w:t>
            </w:r>
          </w:p>
        </w:tc>
        <w:tc>
          <w:tcPr>
            <w:tcW w:w="8827" w:type="dxa"/>
            <w:vAlign w:val="center"/>
          </w:tcPr>
          <w:p>
            <w:pPr>
              <w:pStyle w:val="15"/>
              <w:spacing w:line="360" w:lineRule="exact"/>
              <w:ind w:firstLine="0" w:firstLineChars="0"/>
              <w:rPr>
                <w:rFonts w:ascii="仿宋_GB2312" w:hAnsi="仿宋_GB2312" w:eastAsia="仿宋_GB2312" w:cs="仿宋_GB2312"/>
                <w:sz w:val="22"/>
                <w:szCs w:val="22"/>
              </w:rPr>
            </w:pPr>
            <w:r>
              <w:rPr>
                <w:rFonts w:hint="eastAsia" w:ascii="仿宋_GB2312" w:hAnsi="仿宋_GB2312" w:eastAsia="仿宋_GB2312" w:cs="仿宋_GB2312"/>
                <w:sz w:val="22"/>
                <w:szCs w:val="22"/>
              </w:rPr>
              <w:t>根据商管集团的年度培训计划要求，计划组织安全生产培训4次，每次安排1名青岛市级应急管理局备案专家授课，内容重点针对所属各板块的行业管理特点及相关安全生产法律法规要求和事故案例等内容开展。</w:t>
            </w:r>
          </w:p>
        </w:tc>
        <w:tc>
          <w:tcPr>
            <w:tcW w:w="427" w:type="dxa"/>
            <w:vAlign w:val="center"/>
          </w:tcPr>
          <w:p>
            <w:pPr>
              <w:pStyle w:val="15"/>
              <w:spacing w:line="360" w:lineRule="exact"/>
              <w:ind w:firstLine="440"/>
              <w:rPr>
                <w:rFonts w:ascii="仿宋_GB2312" w:hAnsi="仿宋_GB2312" w:eastAsia="仿宋_GB2312" w:cs="仿宋_GB2312"/>
                <w:sz w:val="22"/>
                <w:szCs w:val="22"/>
              </w:rPr>
            </w:pPr>
          </w:p>
        </w:tc>
        <w:tc>
          <w:tcPr>
            <w:tcW w:w="473" w:type="dxa"/>
            <w:vAlign w:val="center"/>
          </w:tcPr>
          <w:p>
            <w:pPr>
              <w:pStyle w:val="15"/>
              <w:spacing w:line="360" w:lineRule="exact"/>
              <w:ind w:firstLine="440"/>
              <w:rPr>
                <w:rFonts w:ascii="仿宋_GB2312" w:hAnsi="仿宋_GB2312" w:eastAsia="仿宋_GB2312" w:cs="仿宋_GB2312"/>
                <w:sz w:val="22"/>
                <w:szCs w:val="22"/>
              </w:rPr>
            </w:pPr>
          </w:p>
        </w:tc>
        <w:tc>
          <w:tcPr>
            <w:tcW w:w="896" w:type="dxa"/>
            <w:vAlign w:val="center"/>
          </w:tcPr>
          <w:p>
            <w:pPr>
              <w:pStyle w:val="15"/>
              <w:spacing w:line="360" w:lineRule="exact"/>
              <w:ind w:firstLine="440"/>
              <w:rPr>
                <w:rFonts w:ascii="仿宋_GB2312" w:hAnsi="仿宋_GB2312" w:eastAsia="仿宋_GB2312" w:cs="仿宋_GB231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364" w:type="dxa"/>
            <w:vAlign w:val="center"/>
          </w:tcPr>
          <w:p>
            <w:pPr>
              <w:spacing w:line="36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1200"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应急预案修订及评审</w:t>
            </w:r>
          </w:p>
        </w:tc>
        <w:tc>
          <w:tcPr>
            <w:tcW w:w="8827"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对商管集团应急预案（包括综合应急预案、专项应急预案或现场处置方案）进行修订（修订专家须为青岛市应急管理局专家库成员），使各级应急预案保证适宜性。修订后由中标方对修订制度组织进行评审，并出具评审报告（评审专家须为青岛市应急局专家库成员，若聘请单位评审，单位需具备三级及以上安全生产标准化评审资格）。</w:t>
            </w:r>
          </w:p>
        </w:tc>
        <w:tc>
          <w:tcPr>
            <w:tcW w:w="427" w:type="dxa"/>
            <w:vAlign w:val="center"/>
          </w:tcPr>
          <w:p>
            <w:pPr>
              <w:spacing w:line="360" w:lineRule="exact"/>
              <w:ind w:firstLine="440" w:firstLineChars="200"/>
              <w:jc w:val="left"/>
              <w:rPr>
                <w:rFonts w:ascii="仿宋_GB2312" w:hAnsi="仿宋_GB2312" w:eastAsia="仿宋_GB2312" w:cs="仿宋_GB2312"/>
                <w:sz w:val="22"/>
                <w:szCs w:val="22"/>
              </w:rPr>
            </w:pPr>
          </w:p>
        </w:tc>
        <w:tc>
          <w:tcPr>
            <w:tcW w:w="473" w:type="dxa"/>
            <w:vAlign w:val="center"/>
          </w:tcPr>
          <w:p>
            <w:pPr>
              <w:spacing w:line="360" w:lineRule="exact"/>
              <w:ind w:firstLine="440" w:firstLineChars="200"/>
              <w:jc w:val="left"/>
              <w:rPr>
                <w:rFonts w:ascii="仿宋_GB2312" w:hAnsi="仿宋_GB2312" w:eastAsia="仿宋_GB2312" w:cs="仿宋_GB2312"/>
                <w:sz w:val="22"/>
                <w:szCs w:val="22"/>
              </w:rPr>
            </w:pPr>
          </w:p>
        </w:tc>
        <w:tc>
          <w:tcPr>
            <w:tcW w:w="896"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合同签订后三个月内完成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364" w:type="dxa"/>
            <w:vAlign w:val="center"/>
          </w:tcPr>
          <w:p>
            <w:pPr>
              <w:spacing w:line="36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4</w:t>
            </w:r>
          </w:p>
        </w:tc>
        <w:tc>
          <w:tcPr>
            <w:tcW w:w="1200"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应急演练指导评估</w:t>
            </w:r>
          </w:p>
        </w:tc>
        <w:tc>
          <w:tcPr>
            <w:tcW w:w="8827"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根据商管集团的年度演练计划要求，实施应急演练指导评估工作，计划演练4次，每次安排至少1名青岛市级应急管理局备案专家参与，指导演练方案及脚本，现场对应急演练情况进行评估总结。</w:t>
            </w:r>
          </w:p>
        </w:tc>
        <w:tc>
          <w:tcPr>
            <w:tcW w:w="427" w:type="dxa"/>
            <w:vAlign w:val="center"/>
          </w:tcPr>
          <w:p>
            <w:pPr>
              <w:spacing w:line="360" w:lineRule="exact"/>
              <w:ind w:firstLine="440" w:firstLineChars="200"/>
              <w:jc w:val="left"/>
              <w:rPr>
                <w:rFonts w:ascii="仿宋_GB2312" w:hAnsi="仿宋_GB2312" w:eastAsia="仿宋_GB2312" w:cs="仿宋_GB2312"/>
                <w:sz w:val="22"/>
                <w:szCs w:val="22"/>
              </w:rPr>
            </w:pPr>
          </w:p>
        </w:tc>
        <w:tc>
          <w:tcPr>
            <w:tcW w:w="473" w:type="dxa"/>
            <w:vAlign w:val="center"/>
          </w:tcPr>
          <w:p>
            <w:pPr>
              <w:spacing w:line="360" w:lineRule="exact"/>
              <w:ind w:firstLine="440" w:firstLineChars="200"/>
              <w:jc w:val="left"/>
              <w:rPr>
                <w:rFonts w:ascii="仿宋_GB2312" w:hAnsi="仿宋_GB2312" w:eastAsia="仿宋_GB2312" w:cs="仿宋_GB2312"/>
                <w:sz w:val="22"/>
                <w:szCs w:val="22"/>
              </w:rPr>
            </w:pPr>
          </w:p>
        </w:tc>
        <w:tc>
          <w:tcPr>
            <w:tcW w:w="896" w:type="dxa"/>
            <w:vAlign w:val="center"/>
          </w:tcPr>
          <w:p>
            <w:pPr>
              <w:spacing w:line="360" w:lineRule="exact"/>
              <w:ind w:firstLine="440" w:firstLineChars="200"/>
              <w:jc w:val="left"/>
              <w:rPr>
                <w:rFonts w:ascii="仿宋_GB2312" w:hAnsi="仿宋_GB2312" w:eastAsia="仿宋_GB2312" w:cs="仿宋_GB231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364" w:type="dxa"/>
            <w:vAlign w:val="center"/>
          </w:tcPr>
          <w:p>
            <w:pPr>
              <w:spacing w:line="36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5</w:t>
            </w:r>
          </w:p>
        </w:tc>
        <w:tc>
          <w:tcPr>
            <w:tcW w:w="1200"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生产现场安全隐患排查</w:t>
            </w:r>
          </w:p>
        </w:tc>
        <w:tc>
          <w:tcPr>
            <w:tcW w:w="8827"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根据商管集团的年度检查计划要求，对商管集团各下属单位及所有房产进行检查每季度计划检查一次，每次计划检查4天（部分项目不定期抽查），根据采购方需求每次安排1—2名青岛市级应急管理局备案专家参与，检查后出具检查报告及提出安全管理建议。</w:t>
            </w:r>
          </w:p>
        </w:tc>
        <w:tc>
          <w:tcPr>
            <w:tcW w:w="427" w:type="dxa"/>
            <w:vAlign w:val="center"/>
          </w:tcPr>
          <w:p>
            <w:pPr>
              <w:spacing w:line="360" w:lineRule="exact"/>
              <w:ind w:firstLine="440" w:firstLineChars="200"/>
              <w:jc w:val="left"/>
              <w:rPr>
                <w:rFonts w:ascii="仿宋_GB2312" w:hAnsi="仿宋_GB2312" w:eastAsia="仿宋_GB2312" w:cs="仿宋_GB2312"/>
                <w:sz w:val="22"/>
                <w:szCs w:val="22"/>
              </w:rPr>
            </w:pPr>
          </w:p>
        </w:tc>
        <w:tc>
          <w:tcPr>
            <w:tcW w:w="473" w:type="dxa"/>
            <w:vAlign w:val="center"/>
          </w:tcPr>
          <w:p>
            <w:pPr>
              <w:spacing w:line="360" w:lineRule="exact"/>
              <w:ind w:firstLine="440" w:firstLineChars="200"/>
              <w:jc w:val="left"/>
              <w:rPr>
                <w:rFonts w:ascii="仿宋_GB2312" w:hAnsi="仿宋_GB2312" w:eastAsia="仿宋_GB2312" w:cs="仿宋_GB2312"/>
                <w:sz w:val="22"/>
                <w:szCs w:val="22"/>
              </w:rPr>
            </w:pPr>
          </w:p>
        </w:tc>
        <w:tc>
          <w:tcPr>
            <w:tcW w:w="896" w:type="dxa"/>
            <w:vAlign w:val="center"/>
          </w:tcPr>
          <w:p>
            <w:pPr>
              <w:spacing w:line="360" w:lineRule="exact"/>
              <w:ind w:firstLine="440" w:firstLineChars="200"/>
              <w:jc w:val="left"/>
              <w:rPr>
                <w:rFonts w:ascii="仿宋_GB2312" w:hAnsi="仿宋_GB2312" w:eastAsia="仿宋_GB2312" w:cs="仿宋_GB231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364" w:type="dxa"/>
            <w:vAlign w:val="center"/>
          </w:tcPr>
          <w:p>
            <w:pPr>
              <w:spacing w:line="36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6</w:t>
            </w:r>
          </w:p>
        </w:tc>
        <w:tc>
          <w:tcPr>
            <w:tcW w:w="1200"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打造正面宣传工作亮点</w:t>
            </w:r>
          </w:p>
        </w:tc>
        <w:tc>
          <w:tcPr>
            <w:tcW w:w="8827"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①根据省市安全生产治本攻坚三年行动计划（2024-2026），打造商管集团正面工作亮点；通过电视、网络、报纸等青岛市级及以上官方媒体宣传商管集团安全生产文化建设。</w:t>
            </w:r>
          </w:p>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②协助商管集团建立双重预防机制高效运转指标，针对房产租赁、物业、酒店等各板块各级职责和工作要求，结合全员安全生产责任制明确日常工作清单指标，将安全管理工作清晰化和标准化，获得青岛市级及以上行业主管部门表彰。</w:t>
            </w:r>
          </w:p>
          <w:p>
            <w:pPr>
              <w:spacing w:line="360" w:lineRule="exact"/>
              <w:jc w:val="left"/>
            </w:pPr>
            <w:r>
              <w:rPr>
                <w:rFonts w:hint="eastAsia" w:ascii="仿宋_GB2312" w:hAnsi="仿宋_GB2312" w:eastAsia="仿宋_GB2312" w:cs="仿宋_GB2312"/>
                <w:bCs/>
                <w:sz w:val="22"/>
                <w:szCs w:val="22"/>
              </w:rPr>
              <w:t>③协助</w:t>
            </w:r>
            <w:r>
              <w:rPr>
                <w:rFonts w:hint="eastAsia" w:ascii="仿宋_GB2312" w:hAnsi="仿宋_GB2312" w:eastAsia="仿宋_GB2312" w:cs="仿宋_GB2312"/>
                <w:sz w:val="22"/>
                <w:szCs w:val="22"/>
              </w:rPr>
              <w:t>商管集团</w:t>
            </w:r>
            <w:r>
              <w:rPr>
                <w:rFonts w:hint="eastAsia" w:ascii="仿宋_GB2312" w:hAnsi="仿宋_GB2312" w:eastAsia="仿宋_GB2312" w:cs="仿宋_GB2312"/>
                <w:bCs/>
                <w:sz w:val="22"/>
                <w:szCs w:val="22"/>
              </w:rPr>
              <w:t>参加各级各类安全生产和应急管理竞赛活动，取得青岛市级三等奖及以上奖项。</w:t>
            </w:r>
          </w:p>
        </w:tc>
        <w:tc>
          <w:tcPr>
            <w:tcW w:w="427" w:type="dxa"/>
            <w:vAlign w:val="center"/>
          </w:tcPr>
          <w:p>
            <w:pPr>
              <w:spacing w:line="360" w:lineRule="exact"/>
              <w:ind w:firstLine="440" w:firstLineChars="200"/>
              <w:jc w:val="left"/>
              <w:rPr>
                <w:rFonts w:ascii="仿宋_GB2312" w:hAnsi="仿宋_GB2312" w:eastAsia="仿宋_GB2312" w:cs="仿宋_GB2312"/>
                <w:sz w:val="22"/>
                <w:szCs w:val="22"/>
              </w:rPr>
            </w:pPr>
          </w:p>
        </w:tc>
        <w:tc>
          <w:tcPr>
            <w:tcW w:w="473" w:type="dxa"/>
            <w:vAlign w:val="center"/>
          </w:tcPr>
          <w:p>
            <w:pPr>
              <w:spacing w:line="360" w:lineRule="exact"/>
              <w:ind w:firstLine="440" w:firstLineChars="200"/>
              <w:jc w:val="left"/>
              <w:rPr>
                <w:rFonts w:ascii="仿宋_GB2312" w:hAnsi="仿宋_GB2312" w:eastAsia="仿宋_GB2312" w:cs="仿宋_GB2312"/>
                <w:sz w:val="22"/>
                <w:szCs w:val="22"/>
              </w:rPr>
            </w:pPr>
          </w:p>
        </w:tc>
        <w:tc>
          <w:tcPr>
            <w:tcW w:w="896"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按公告要求出具体工作方案（方案可另附页）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364" w:type="dxa"/>
            <w:vAlign w:val="center"/>
          </w:tcPr>
          <w:p>
            <w:pPr>
              <w:spacing w:line="360" w:lineRule="exact"/>
              <w:ind w:firstLine="440" w:firstLineChars="200"/>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7</w:t>
            </w:r>
          </w:p>
        </w:tc>
        <w:tc>
          <w:tcPr>
            <w:tcW w:w="1200" w:type="dxa"/>
            <w:vAlign w:val="center"/>
          </w:tcPr>
          <w:p>
            <w:pPr>
              <w:spacing w:line="360" w:lineRule="exact"/>
              <w:jc w:val="left"/>
              <w:rPr>
                <w:rFonts w:ascii="仿宋_GB2312" w:hAnsi="仿宋_GB2312" w:eastAsia="仿宋_GB2312" w:cs="仿宋_GB2312"/>
                <w:sz w:val="22"/>
                <w:szCs w:val="22"/>
              </w:rPr>
            </w:pPr>
            <w:r>
              <w:rPr>
                <w:rFonts w:hint="eastAsia" w:ascii="仿宋_GB2312" w:hAnsi="仿宋_GB2312" w:eastAsia="仿宋_GB2312" w:cs="仿宋_GB2312"/>
                <w:b/>
                <w:sz w:val="22"/>
                <w:szCs w:val="22"/>
              </w:rPr>
              <w:t>费用合计</w:t>
            </w:r>
          </w:p>
        </w:tc>
        <w:tc>
          <w:tcPr>
            <w:tcW w:w="9727" w:type="dxa"/>
            <w:gridSpan w:val="3"/>
            <w:vAlign w:val="center"/>
          </w:tcPr>
          <w:p>
            <w:pPr>
              <w:spacing w:line="360" w:lineRule="exact"/>
              <w:ind w:firstLine="440" w:firstLineChars="200"/>
              <w:jc w:val="left"/>
              <w:rPr>
                <w:rFonts w:ascii="仿宋_GB2312" w:hAnsi="仿宋_GB2312" w:eastAsia="仿宋_GB2312" w:cs="仿宋_GB2312"/>
                <w:sz w:val="22"/>
                <w:szCs w:val="22"/>
              </w:rPr>
            </w:pPr>
          </w:p>
        </w:tc>
        <w:tc>
          <w:tcPr>
            <w:tcW w:w="896" w:type="dxa"/>
            <w:vAlign w:val="center"/>
          </w:tcPr>
          <w:p>
            <w:pPr>
              <w:spacing w:line="360" w:lineRule="exact"/>
              <w:ind w:firstLine="440" w:firstLineChars="200"/>
              <w:jc w:val="left"/>
              <w:rPr>
                <w:rFonts w:ascii="仿宋_GB2312" w:hAnsi="仿宋_GB2312" w:eastAsia="仿宋_GB2312" w:cs="仿宋_GB2312"/>
                <w:sz w:val="22"/>
                <w:szCs w:val="22"/>
              </w:rPr>
            </w:pPr>
          </w:p>
        </w:tc>
      </w:tr>
    </w:tbl>
    <w:p>
      <w:pPr>
        <w:spacing w:line="360" w:lineRule="exact"/>
        <w:ind w:firstLine="480" w:firstLineChars="200"/>
        <w:rPr>
          <w:rFonts w:ascii="仿宋" w:hAnsi="仿宋" w:eastAsia="仿宋"/>
          <w:sz w:val="24"/>
        </w:rPr>
      </w:pPr>
      <w:r>
        <w:rPr>
          <w:rFonts w:hint="eastAsia" w:ascii="仿宋" w:hAnsi="仿宋" w:eastAsia="仿宋"/>
          <w:sz w:val="24"/>
        </w:rPr>
        <w:t>注：</w:t>
      </w:r>
      <w:r>
        <w:rPr>
          <w:rFonts w:ascii="仿宋" w:hAnsi="仿宋" w:eastAsia="仿宋"/>
          <w:sz w:val="24"/>
        </w:rPr>
        <w:t>1</w:t>
      </w:r>
      <w:r>
        <w:rPr>
          <w:rFonts w:hint="eastAsia" w:ascii="仿宋" w:hAnsi="仿宋" w:eastAsia="仿宋"/>
          <w:sz w:val="24"/>
        </w:rPr>
        <w:t>.供应商人的上述报价应包含了本采购文件中规定的所有服务内容，未能在此列举的服务内容，采购人认为已包含在此报价中，报价单位成交后应完成包括上述服务在内的所有工作；</w:t>
      </w:r>
    </w:p>
    <w:p>
      <w:pPr>
        <w:spacing w:line="360" w:lineRule="exact"/>
        <w:ind w:firstLine="480" w:firstLineChars="200"/>
        <w:jc w:val="left"/>
        <w:rPr>
          <w:rFonts w:ascii="仿宋" w:hAnsi="仿宋" w:eastAsia="仿宋"/>
          <w:sz w:val="24"/>
        </w:rPr>
      </w:pPr>
      <w:r>
        <w:rPr>
          <w:rFonts w:hint="eastAsia" w:ascii="仿宋" w:hAnsi="仿宋" w:eastAsia="仿宋"/>
          <w:sz w:val="24"/>
        </w:rPr>
        <w:t>2.采购人将对上表所列各项服务内容的总报价进行评比。如供应商认为上表中某些款项有隶属或涵盖关系，则在相应的空格之中写明已包括于﹡﹡项中；</w:t>
      </w:r>
    </w:p>
    <w:p>
      <w:pPr>
        <w:spacing w:line="360" w:lineRule="exact"/>
        <w:ind w:firstLine="480" w:firstLineChars="200"/>
        <w:rPr>
          <w:rFonts w:ascii="仿宋" w:hAnsi="仿宋" w:eastAsia="仿宋"/>
          <w:sz w:val="24"/>
        </w:rPr>
      </w:pPr>
      <w:r>
        <w:rPr>
          <w:rFonts w:hint="eastAsia" w:ascii="仿宋" w:hAnsi="仿宋" w:eastAsia="仿宋"/>
          <w:sz w:val="24"/>
        </w:rPr>
        <w:t>3.供应商报价应考虑全面、取费合理、计算准确，还应根据此表列出详尽分项费用、总费用清单和取费标准（格式可自行设计，作为本报价表的附表）；</w:t>
      </w:r>
    </w:p>
    <w:p>
      <w:pPr>
        <w:spacing w:line="360" w:lineRule="exact"/>
        <w:ind w:firstLine="480" w:firstLineChars="200"/>
        <w:rPr>
          <w:rFonts w:ascii="仿宋" w:hAnsi="仿宋" w:eastAsia="仿宋"/>
          <w:sz w:val="24"/>
        </w:rPr>
      </w:pPr>
      <w:r>
        <w:rPr>
          <w:rFonts w:hint="eastAsia" w:ascii="仿宋" w:hAnsi="仿宋" w:eastAsia="仿宋"/>
          <w:sz w:val="24"/>
        </w:rPr>
        <w:t xml:space="preserve">4.报价均为含税价。 </w:t>
      </w:r>
    </w:p>
    <w:p>
      <w:pPr>
        <w:spacing w:line="560" w:lineRule="exact"/>
        <w:ind w:firstLine="4800" w:firstLineChars="1500"/>
        <w:rPr>
          <w:rFonts w:ascii="仿宋_GB2312" w:hAnsi="仿宋_GB2312" w:eastAsia="仿宋_GB2312" w:cs="仿宋_GB2312"/>
          <w:sz w:val="32"/>
          <w:szCs w:val="32"/>
        </w:rPr>
      </w:pPr>
    </w:p>
    <w:p>
      <w:pPr>
        <w:spacing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报价单位名称（盖公章）：</w:t>
      </w:r>
    </w:p>
    <w:p>
      <w:pPr>
        <w:spacing w:line="560" w:lineRule="exact"/>
        <w:ind w:firstLine="4800" w:firstLineChars="1500"/>
        <w:rPr>
          <w:rFonts w:ascii="仿宋_GB2312" w:eastAsia="仿宋_GB2312"/>
          <w:sz w:val="32"/>
          <w:szCs w:val="32"/>
          <w:u w:val="single"/>
        </w:rPr>
      </w:pPr>
      <w:r>
        <w:rPr>
          <w:rFonts w:hint="eastAsia" w:ascii="仿宋_GB2312" w:eastAsia="仿宋_GB2312"/>
          <w:sz w:val="32"/>
          <w:szCs w:val="32"/>
        </w:rPr>
        <w:t>法定代表人或被授权代表人签字：</w:t>
      </w:r>
    </w:p>
    <w:p>
      <w:pPr>
        <w:tabs>
          <w:tab w:val="right" w:pos="12756"/>
        </w:tabs>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联系电话：          2024</w:t>
      </w:r>
      <w:r>
        <w:rPr>
          <w:rFonts w:hint="eastAsia" w:ascii="仿宋_GB2312" w:hAnsi="仿宋_GB2312" w:eastAsia="仿宋_GB2312" w:cs="仿宋_GB2312"/>
          <w:color w:val="000000"/>
          <w:sz w:val="32"/>
          <w:szCs w:val="32"/>
        </w:rPr>
        <w:t xml:space="preserve">年  月  日          </w:t>
      </w:r>
    </w:p>
    <w:p>
      <w:pPr>
        <w:spacing w:line="360" w:lineRule="exact"/>
        <w:ind w:firstLine="480" w:firstLineChars="200"/>
        <w:jc w:val="left"/>
        <w:rPr>
          <w:rFonts w:ascii="仿宋" w:hAnsi="仿宋" w:eastAsia="仿宋"/>
          <w:sz w:val="24"/>
        </w:rPr>
        <w:sectPr>
          <w:pgSz w:w="16838" w:h="11906" w:orient="landscape"/>
          <w:pgMar w:top="1588" w:right="2098" w:bottom="1474" w:left="1985" w:header="851" w:footer="992" w:gutter="0"/>
          <w:pgNumType w:fmt="numberInDash"/>
          <w:cols w:space="0" w:num="1"/>
          <w:docGrid w:type="linesAndChars" w:linePitch="315" w:charSpace="0"/>
        </w:sectPr>
      </w:pPr>
    </w:p>
    <w:p>
      <w:pPr>
        <w:widowControl/>
        <w:rPr>
          <w:rFonts w:ascii="黑体" w:hAnsi="黑体" w:eastAsia="黑体" w:cs="方正小标宋_GBK"/>
          <w:sz w:val="32"/>
          <w:szCs w:val="44"/>
          <w:shd w:val="clear" w:color="auto" w:fill="FFFFFF"/>
        </w:rPr>
      </w:pPr>
      <w:r>
        <w:rPr>
          <w:rFonts w:hint="eastAsia" w:ascii="黑体" w:hAnsi="黑体" w:eastAsia="黑体" w:cs="方正小标宋_GBK"/>
          <w:sz w:val="32"/>
          <w:szCs w:val="44"/>
          <w:shd w:val="clear" w:color="auto" w:fill="FFFFFF"/>
        </w:rPr>
        <w:t>附件2</w:t>
      </w:r>
    </w:p>
    <w:p>
      <w:pPr>
        <w:rPr>
          <w:rFonts w:ascii="黑体" w:hAnsi="黑体" w:eastAsia="黑体"/>
          <w:sz w:val="32"/>
        </w:rPr>
      </w:pPr>
    </w:p>
    <w:p>
      <w:pPr>
        <w:widowControl/>
        <w:shd w:val="clear" w:color="auto" w:fill="FFFFFF"/>
        <w:spacing w:line="500" w:lineRule="exact"/>
        <w:ind w:right="-30"/>
        <w:jc w:val="center"/>
        <w:textAlignment w:val="center"/>
        <w:rPr>
          <w:rFonts w:ascii="仿宋_GB2312" w:hAnsi="仿宋_GB2312" w:eastAsia="仿宋_GB2312" w:cs="仿宋_GB2312"/>
          <w:sz w:val="32"/>
          <w:szCs w:val="32"/>
        </w:rPr>
      </w:pPr>
      <w:bookmarkStart w:id="0" w:name="_Hlk130764968"/>
      <w:r>
        <w:rPr>
          <w:rFonts w:hint="eastAsia" w:ascii="方正小标宋_GBK" w:hAnsi="方正小标宋_GBK" w:eastAsia="方正小标宋_GBK" w:cs="方正小标宋_GBK"/>
          <w:bCs/>
          <w:sz w:val="44"/>
          <w:szCs w:val="44"/>
          <w:shd w:val="clear" w:color="auto" w:fill="FFFFFF"/>
        </w:rPr>
        <w:t>城投商管集团合作伙伴反腐败政策告知书</w:t>
      </w:r>
      <w:bookmarkEnd w:id="0"/>
      <w:r>
        <w:rPr>
          <w:rFonts w:hint="eastAsia" w:ascii="仿宋_GB2312" w:hAnsi="仿宋_GB2312" w:eastAsia="仿宋_GB2312" w:cs="仿宋_GB2312"/>
          <w:sz w:val="32"/>
          <w:szCs w:val="32"/>
          <w:shd w:val="clear" w:color="auto" w:fill="FFFFFF"/>
        </w:rPr>
        <w:fldChar w:fldCharType="begin"/>
      </w:r>
      <w:r>
        <w:rPr>
          <w:rFonts w:hint="eastAsia" w:ascii="仿宋_GB2312" w:hAnsi="仿宋_GB2312" w:eastAsia="仿宋_GB2312" w:cs="仿宋_GB2312"/>
          <w:sz w:val="32"/>
          <w:szCs w:val="32"/>
          <w:shd w:val="clear" w:color="auto" w:fill="FFFFFF"/>
        </w:rPr>
        <w:instrText xml:space="preserve"> HYPERLINK "https://www.huawei.com/cn/compliance/anti-corruption-policy-for-huawei-partners" \o "分享到微信" </w:instrText>
      </w:r>
      <w:r>
        <w:rPr>
          <w:rFonts w:hint="eastAsia" w:ascii="仿宋_GB2312" w:hAnsi="仿宋_GB2312" w:eastAsia="仿宋_GB2312" w:cs="仿宋_GB2312"/>
          <w:sz w:val="32"/>
          <w:szCs w:val="32"/>
          <w:shd w:val="clear" w:color="auto" w:fill="FFFFFF"/>
        </w:rPr>
        <w:fldChar w:fldCharType="end"/>
      </w:r>
    </w:p>
    <w:p>
      <w:pPr>
        <w:widowControl/>
        <w:spacing w:line="500" w:lineRule="exact"/>
        <w:jc w:val="left"/>
        <w:rPr>
          <w:rFonts w:ascii="仿宋_GB2312" w:hAnsi="仿宋_GB2312" w:eastAsia="仿宋_GB2312" w:cs="仿宋_GB2312"/>
          <w:kern w:val="0"/>
          <w:sz w:val="32"/>
          <w:szCs w:val="32"/>
          <w:shd w:val="clear" w:color="auto" w:fill="FFFFFF"/>
        </w:rPr>
      </w:pPr>
    </w:p>
    <w:p>
      <w:pPr>
        <w:widowControl/>
        <w:spacing w:line="500" w:lineRule="exact"/>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各合作伙伴：</w:t>
      </w:r>
    </w:p>
    <w:p>
      <w:pPr>
        <w:widowControl/>
        <w:spacing w:line="5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青岛城投商业资产运营管理集团有限公司（以下简称“商管集团”）始终坚持诚信经营，恪守商业道德，遵守所有适用的法律法规，对贿赂和腐败行为持“零容忍”态度。</w:t>
      </w:r>
    </w:p>
    <w:p>
      <w:pPr>
        <w:widowControl/>
        <w:spacing w:line="500"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商管集团要求所有合作伙伴遵守所有适用的反腐败法律法规，遵从业界通行的道德标准，在向商管集团提供服务和履行合同义务时，或代表商管集团向商管集团客户或其他第三方提供服务和履行合同义务时，应当遵守以下行为： </w:t>
      </w:r>
    </w:p>
    <w:p>
      <w:pPr>
        <w:widowControl/>
        <w:spacing w:line="5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rPr>
        <w:t>1.不实施任何形式的贿赂和腐败行为。</w:t>
      </w:r>
      <w:r>
        <w:rPr>
          <w:rFonts w:hint="eastAsia" w:ascii="仿宋_GB2312" w:hAnsi="仿宋_GB2312" w:eastAsia="仿宋_GB2312" w:cs="仿宋_GB2312"/>
          <w:kern w:val="0"/>
          <w:sz w:val="32"/>
          <w:szCs w:val="32"/>
          <w:shd w:val="clear" w:color="auto" w:fill="FFFFFF"/>
        </w:rPr>
        <w:t>商管集团禁止任何员工行贿和受贿，如果任何商管集团员工试图通过、协助、教唆、促使合作伙伴或与其合谋的方式进行贿赂，合作伙伴应明确拒绝并主动向商管集团举报。</w:t>
      </w:r>
    </w:p>
    <w:p>
      <w:pPr>
        <w:widowControl/>
        <w:spacing w:line="500" w:lineRule="exact"/>
        <w:ind w:left="-39" w:leftChars="-19"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2.不以任何形式贿赂商管集团员工。避免采取任何可能导致商管集团承担连带责任的不当行动等。</w:t>
      </w:r>
    </w:p>
    <w:p>
      <w:pPr>
        <w:widowControl/>
        <w:spacing w:line="5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3.保留真实、准确和完整的帐簿和记录，不在账簿和记录中录入虚假、不准确、不完整、伪造或误导性条目。</w:t>
      </w:r>
    </w:p>
    <w:p>
      <w:pPr>
        <w:widowControl/>
        <w:spacing w:line="5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4.合作伙伴应将商管集团的反腐败要求传递给其员工及其合作伙伴，并定期审视。</w:t>
      </w:r>
    </w:p>
    <w:p>
      <w:pPr>
        <w:widowControl/>
        <w:spacing w:line="5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5.配合商管集团的工作。为确保合作伙伴始终遵守法律、道德及商管集团的反腐败要求，商管集团有权对合作伙伴进行适当的尽职调查及实施相应的管控程序，合作伙伴应提供真实、完整、合法、有效的资料，不隐瞒任何可能对商管集团合法利益造成不利影响的信息。</w:t>
      </w:r>
    </w:p>
    <w:p>
      <w:pPr>
        <w:widowControl/>
        <w:spacing w:line="5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如果任何合作伙伴未能遵守相关行为或违反有关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pPr>
        <w:widowControl/>
        <w:spacing w:line="5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如果合作伙伴对本告知书有任何疑问，或者发现任何合作伙伴或商管集团员工疑似或者已经违反所适用的反腐败法律法规、商管集团的反腐败相关政策及要求等，请将有关情况反馈至如下电子邮箱：ctyangsen@163.com。商管集团将对相关举报线索严守秘密并展开调查，并确保被举报人不会对举报方进行威胁或者打击报复。</w:t>
      </w:r>
    </w:p>
    <w:p>
      <w:pPr>
        <w:widowControl/>
        <w:spacing w:line="500"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若本政策与当地法律法规等不一致，则以其中更为严格的要求为准。本告知书适用于各合作伙伴与商管集团及其下属直属公司及由其负责参与、管理的日常经营业务。</w:t>
      </w:r>
    </w:p>
    <w:p>
      <w:pPr>
        <w:widowControl/>
        <w:spacing w:line="500" w:lineRule="exact"/>
        <w:ind w:firstLine="707" w:firstLineChars="221"/>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承诺声明：</w:t>
      </w:r>
      <w:r>
        <w:rPr>
          <w:rFonts w:hint="eastAsia" w:ascii="仿宋_GB2312" w:hAnsi="仿宋_GB2312" w:eastAsia="仿宋_GB2312" w:cs="仿宋_GB2312"/>
          <w:kern w:val="0"/>
          <w:sz w:val="32"/>
          <w:szCs w:val="32"/>
          <w:shd w:val="clear" w:color="auto" w:fill="FFFFFF"/>
        </w:rPr>
        <w:t>本单位对《城投商管集团合作伙伴反腐败政策告知书》内容已知悉，承诺将严格遵守城投商管集团反腐败相关要求，否则将承担一切不利后果。</w:t>
      </w:r>
    </w:p>
    <w:p>
      <w:pPr>
        <w:widowControl/>
        <w:spacing w:line="500" w:lineRule="exact"/>
        <w:ind w:firstLine="707" w:firstLineChars="221"/>
        <w:jc w:val="left"/>
        <w:rPr>
          <w:rFonts w:ascii="仿宋_GB2312" w:hAnsi="仿宋_GB2312" w:eastAsia="仿宋_GB2312" w:cs="仿宋_GB2312"/>
          <w:kern w:val="0"/>
          <w:sz w:val="32"/>
          <w:szCs w:val="32"/>
          <w:shd w:val="clear" w:color="auto" w:fill="FFFFFF"/>
        </w:rPr>
      </w:pPr>
    </w:p>
    <w:p>
      <w:pPr>
        <w:widowControl/>
        <w:spacing w:line="500" w:lineRule="exact"/>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承诺单位（公章）：</w:t>
      </w:r>
    </w:p>
    <w:p>
      <w:pPr>
        <w:widowControl/>
        <w:spacing w:line="500" w:lineRule="exact"/>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法定代表人（委托代理人）：                                                                </w:t>
      </w:r>
    </w:p>
    <w:p>
      <w:pPr>
        <w:widowControl/>
        <w:spacing w:line="500" w:lineRule="exact"/>
        <w:ind w:firstLine="4160" w:firstLineChars="1300"/>
        <w:jc w:val="left"/>
        <w:rPr>
          <w:rFonts w:ascii="仿宋_GB2312" w:hAnsi="仿宋_GB2312" w:eastAsia="仿宋_GB2312" w:cs="仿宋_GB2312"/>
          <w:kern w:val="0"/>
          <w:sz w:val="32"/>
          <w:szCs w:val="32"/>
          <w:shd w:val="clear" w:color="auto" w:fill="FFFFFF"/>
        </w:rPr>
      </w:pPr>
    </w:p>
    <w:p>
      <w:pPr>
        <w:widowControl/>
        <w:spacing w:line="500" w:lineRule="exact"/>
        <w:jc w:val="center"/>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              2024年 月   日</w:t>
      </w:r>
    </w:p>
    <w:p>
      <w:pPr>
        <w:widowControl/>
        <w:rPr>
          <w:rFonts w:ascii="黑体" w:hAnsi="黑体" w:eastAsia="黑体"/>
          <w:bCs/>
          <w:sz w:val="32"/>
          <w:szCs w:val="60"/>
        </w:rPr>
      </w:pPr>
      <w:r>
        <w:rPr>
          <w:rFonts w:hint="eastAsia" w:ascii="黑体" w:hAnsi="黑体" w:eastAsia="黑体"/>
          <w:bCs/>
          <w:sz w:val="32"/>
          <w:szCs w:val="60"/>
        </w:rPr>
        <w:t>附件3</w:t>
      </w:r>
    </w:p>
    <w:p>
      <w:pPr>
        <w:widowControl/>
        <w:spacing w:line="560" w:lineRule="exact"/>
        <w:jc w:val="center"/>
        <w:rPr>
          <w:rFonts w:ascii="宋体" w:hAnsi="宋体" w:cs="方正仿宋_GB2312"/>
          <w:kern w:val="1"/>
          <w:sz w:val="36"/>
          <w:szCs w:val="36"/>
        </w:rPr>
      </w:pPr>
      <w:r>
        <w:rPr>
          <w:rFonts w:hint="eastAsia" w:ascii="宋体" w:hAnsi="宋体" w:cs="方正仿宋_GB2312"/>
          <w:bCs/>
          <w:kern w:val="1"/>
          <w:sz w:val="36"/>
          <w:szCs w:val="36"/>
        </w:rPr>
        <w:t>承诺函</w:t>
      </w:r>
    </w:p>
    <w:p>
      <w:pPr>
        <w:widowControl/>
        <w:spacing w:line="560" w:lineRule="exact"/>
        <w:rPr>
          <w:rFonts w:ascii="宋体" w:hAnsi="宋体" w:cs="方正仿宋_GB2312"/>
          <w:kern w:val="1"/>
          <w:sz w:val="36"/>
          <w:szCs w:val="36"/>
        </w:rPr>
      </w:pPr>
      <w:r>
        <w:rPr>
          <w:rFonts w:ascii="仿宋_GB2312" w:hAnsi="宋体" w:eastAsia="仿宋_GB2312" w:cs="仿宋_GB2312"/>
          <w:sz w:val="32"/>
          <w:szCs w:val="32"/>
        </w:rPr>
        <w:t>青岛城</w:t>
      </w:r>
      <w:r>
        <w:rPr>
          <w:rFonts w:hint="eastAsia" w:ascii="仿宋_GB2312" w:hAnsi="宋体" w:eastAsia="仿宋_GB2312" w:cs="仿宋_GB2312"/>
          <w:sz w:val="32"/>
          <w:szCs w:val="32"/>
        </w:rPr>
        <w:t>投商业资产运营管理集团</w:t>
      </w:r>
      <w:r>
        <w:rPr>
          <w:rFonts w:ascii="仿宋_GB2312" w:hAnsi="宋体" w:eastAsia="仿宋_GB2312" w:cs="仿宋_GB2312"/>
          <w:sz w:val="32"/>
          <w:szCs w:val="32"/>
        </w:rPr>
        <w:t>有限公司</w:t>
      </w:r>
      <w:r>
        <w:rPr>
          <w:rFonts w:hint="eastAsia" w:ascii="仿宋" w:hAnsi="仿宋" w:eastAsia="仿宋" w:cs="方正仿宋_GB2312"/>
          <w:kern w:val="1"/>
          <w:sz w:val="32"/>
          <w:szCs w:val="32"/>
        </w:rPr>
        <w:t>：</w:t>
      </w:r>
    </w:p>
    <w:p>
      <w:pPr>
        <w:widowControl/>
        <w:spacing w:line="560" w:lineRule="exact"/>
        <w:ind w:firstLine="645"/>
        <w:rPr>
          <w:rFonts w:ascii="仿宋" w:hAnsi="仿宋" w:eastAsia="仿宋" w:cs="方正仿宋_GB2312"/>
          <w:kern w:val="1"/>
          <w:sz w:val="32"/>
          <w:szCs w:val="32"/>
        </w:rPr>
      </w:pPr>
      <w:r>
        <w:rPr>
          <w:rFonts w:hint="eastAsia" w:ascii="仿宋" w:hAnsi="仿宋" w:eastAsia="仿宋" w:cs="方正仿宋_GB2312"/>
          <w:kern w:val="1"/>
          <w:sz w:val="32"/>
          <w:szCs w:val="32"/>
        </w:rPr>
        <w:t xml:space="preserve">1.我单位全面研究了贵司发出的询价采购公告，决定参加贵司组织的本项目招标报价。我方授权 </w:t>
      </w:r>
      <w:r>
        <w:rPr>
          <w:rFonts w:hint="eastAsia" w:ascii="宋体" w:hAnsi="宋体" w:cs="宋体"/>
          <w:kern w:val="1"/>
          <w:sz w:val="32"/>
          <w:szCs w:val="32"/>
          <w:u w:val="single"/>
        </w:rPr>
        <w:t xml:space="preserve">          </w:t>
      </w:r>
      <w:r>
        <w:rPr>
          <w:rFonts w:hint="eastAsia" w:ascii="仿宋" w:hAnsi="仿宋" w:eastAsia="仿宋" w:cs="方正仿宋_GB2312"/>
          <w:kern w:val="1"/>
          <w:sz w:val="32"/>
          <w:szCs w:val="32"/>
        </w:rPr>
        <w:t xml:space="preserve">（姓名）代表我方   </w:t>
      </w:r>
      <w:r>
        <w:rPr>
          <w:rFonts w:hint="eastAsia" w:ascii="仿宋" w:hAnsi="仿宋" w:eastAsia="仿宋" w:cs="方正仿宋_GB2312"/>
          <w:kern w:val="1"/>
          <w:sz w:val="32"/>
          <w:szCs w:val="32"/>
          <w:u w:val="single"/>
        </w:rPr>
        <w:t xml:space="preserve">                        </w:t>
      </w:r>
      <w:r>
        <w:rPr>
          <w:rFonts w:hint="eastAsia" w:ascii="仿宋" w:hAnsi="仿宋" w:eastAsia="仿宋" w:cs="方正仿宋_GB2312"/>
          <w:kern w:val="1"/>
          <w:sz w:val="32"/>
          <w:szCs w:val="32"/>
        </w:rPr>
        <w:t>（报价单位的名称）全权处理本项目招标的有关事宜。</w:t>
      </w:r>
    </w:p>
    <w:p>
      <w:pPr>
        <w:widowControl/>
        <w:spacing w:line="560" w:lineRule="exact"/>
        <w:ind w:firstLine="630"/>
        <w:rPr>
          <w:rFonts w:ascii="仿宋" w:hAnsi="仿宋" w:eastAsia="仿宋" w:cs="方正仿宋_GB2312"/>
          <w:kern w:val="1"/>
          <w:sz w:val="32"/>
          <w:szCs w:val="32"/>
        </w:rPr>
      </w:pPr>
      <w:r>
        <w:rPr>
          <w:rFonts w:hint="eastAsia" w:ascii="仿宋" w:hAnsi="仿宋" w:eastAsia="仿宋" w:cs="方正仿宋_GB2312"/>
          <w:kern w:val="1"/>
          <w:sz w:val="32"/>
          <w:szCs w:val="32"/>
        </w:rPr>
        <w:t>2.一旦我方中标，我方将严格履行协议书、合同及询价采购文件规定的责任和义务。</w:t>
      </w:r>
    </w:p>
    <w:p>
      <w:pPr>
        <w:widowControl/>
        <w:spacing w:line="560" w:lineRule="exact"/>
        <w:ind w:firstLine="600"/>
        <w:rPr>
          <w:rFonts w:ascii="仿宋" w:hAnsi="仿宋" w:eastAsia="仿宋" w:cs="方正仿宋_GB2312"/>
          <w:kern w:val="1"/>
          <w:sz w:val="32"/>
          <w:szCs w:val="32"/>
        </w:rPr>
      </w:pPr>
      <w:r>
        <w:rPr>
          <w:rFonts w:hint="eastAsia" w:ascii="仿宋" w:hAnsi="仿宋" w:eastAsia="仿宋" w:cs="方正仿宋_GB2312"/>
          <w:kern w:val="1"/>
          <w:sz w:val="32"/>
          <w:szCs w:val="32"/>
        </w:rPr>
        <w:t>3.一旦我方中标，我方将严格履行合同规定责任和义务。</w:t>
      </w:r>
    </w:p>
    <w:p>
      <w:pPr>
        <w:widowControl/>
        <w:spacing w:line="560" w:lineRule="exact"/>
        <w:ind w:firstLine="630"/>
        <w:rPr>
          <w:rFonts w:ascii="仿宋" w:hAnsi="仿宋" w:eastAsia="仿宋" w:cs="方正仿宋_GB2312"/>
          <w:kern w:val="1"/>
          <w:sz w:val="32"/>
          <w:szCs w:val="32"/>
        </w:rPr>
      </w:pPr>
      <w:r>
        <w:rPr>
          <w:rFonts w:hint="eastAsia" w:ascii="仿宋" w:hAnsi="仿宋" w:eastAsia="仿宋" w:cs="方正仿宋_GB2312"/>
          <w:kern w:val="1"/>
          <w:sz w:val="32"/>
          <w:szCs w:val="32"/>
        </w:rPr>
        <w:t>4.我方愿意提供贵司另外要求的，与报价有关的文件资料，并保证我方已提供和将要提供的文件资料是真实准确的。</w:t>
      </w:r>
    </w:p>
    <w:p>
      <w:pPr>
        <w:widowControl/>
        <w:spacing w:line="560" w:lineRule="exact"/>
        <w:ind w:firstLine="630"/>
        <w:rPr>
          <w:rFonts w:ascii="仿宋" w:hAnsi="仿宋" w:eastAsia="仿宋" w:cs="方正仿宋_GB2312"/>
          <w:kern w:val="1"/>
          <w:sz w:val="32"/>
          <w:szCs w:val="32"/>
        </w:rPr>
      </w:pPr>
      <w:r>
        <w:rPr>
          <w:rFonts w:hint="eastAsia" w:ascii="仿宋" w:hAnsi="仿宋" w:eastAsia="仿宋" w:cs="方正仿宋_GB2312"/>
          <w:kern w:val="1"/>
          <w:sz w:val="32"/>
          <w:szCs w:val="32"/>
        </w:rPr>
        <w:t>5.我方完全理解贵司不一定将合同授予最低报价的报价人的行为。</w:t>
      </w:r>
    </w:p>
    <w:p>
      <w:pPr>
        <w:widowControl/>
        <w:spacing w:line="560" w:lineRule="exact"/>
        <w:ind w:firstLine="630"/>
        <w:rPr>
          <w:rFonts w:ascii="仿宋" w:hAnsi="仿宋" w:eastAsia="仿宋" w:cs="方正仿宋_GB2312"/>
          <w:kern w:val="1"/>
          <w:sz w:val="32"/>
          <w:szCs w:val="32"/>
        </w:rPr>
      </w:pPr>
    </w:p>
    <w:p>
      <w:pPr>
        <w:widowControl/>
        <w:spacing w:line="560" w:lineRule="exact"/>
        <w:ind w:firstLine="630"/>
        <w:rPr>
          <w:rFonts w:ascii="仿宋" w:hAnsi="仿宋" w:eastAsia="仿宋" w:cs="方正仿宋_GB2312"/>
          <w:kern w:val="1"/>
          <w:sz w:val="32"/>
          <w:szCs w:val="32"/>
        </w:rPr>
      </w:pPr>
    </w:p>
    <w:p>
      <w:pPr>
        <w:widowControl/>
        <w:spacing w:line="560" w:lineRule="exact"/>
        <w:ind w:firstLine="645"/>
        <w:rPr>
          <w:rFonts w:ascii="仿宋" w:hAnsi="仿宋" w:eastAsia="仿宋" w:cs="方正仿宋_GB2312"/>
          <w:kern w:val="1"/>
          <w:sz w:val="32"/>
          <w:szCs w:val="32"/>
        </w:rPr>
      </w:pPr>
      <w:r>
        <w:rPr>
          <w:rFonts w:hint="eastAsia" w:ascii="仿宋" w:hAnsi="仿宋" w:eastAsia="仿宋" w:cs="方正仿宋_GB2312"/>
          <w:kern w:val="1"/>
          <w:sz w:val="32"/>
          <w:szCs w:val="32"/>
        </w:rPr>
        <w:t>报价单位名称（盖章）：</w:t>
      </w:r>
    </w:p>
    <w:p>
      <w:pPr>
        <w:widowControl/>
        <w:spacing w:line="560" w:lineRule="exact"/>
        <w:ind w:firstLine="645"/>
        <w:rPr>
          <w:rFonts w:ascii="仿宋" w:hAnsi="仿宋" w:eastAsia="仿宋" w:cs="方正仿宋_GB2312"/>
          <w:kern w:val="1"/>
          <w:sz w:val="32"/>
          <w:szCs w:val="32"/>
        </w:rPr>
      </w:pPr>
    </w:p>
    <w:p>
      <w:pPr>
        <w:widowControl/>
        <w:spacing w:line="560" w:lineRule="exact"/>
        <w:ind w:firstLine="645"/>
        <w:rPr>
          <w:rFonts w:ascii="仿宋" w:hAnsi="仿宋" w:eastAsia="仿宋" w:cs="方正仿宋_GB2312"/>
          <w:kern w:val="1"/>
          <w:sz w:val="32"/>
          <w:szCs w:val="32"/>
        </w:rPr>
      </w:pPr>
      <w:r>
        <w:rPr>
          <w:rFonts w:hint="eastAsia" w:ascii="仿宋" w:hAnsi="仿宋" w:eastAsia="仿宋" w:cs="方正仿宋_GB2312"/>
          <w:kern w:val="1"/>
          <w:sz w:val="32"/>
          <w:szCs w:val="32"/>
        </w:rPr>
        <w:t>法定代表人（或授权代理人）签章：</w:t>
      </w:r>
    </w:p>
    <w:p>
      <w:pPr>
        <w:widowControl/>
        <w:rPr>
          <w:rFonts w:ascii="黑体" w:hAnsi="黑体" w:eastAsia="黑体" w:cs="方正仿宋_GB2312"/>
          <w:bCs/>
          <w:kern w:val="1"/>
          <w:sz w:val="32"/>
          <w:szCs w:val="32"/>
        </w:rPr>
      </w:pPr>
    </w:p>
    <w:p>
      <w:pPr>
        <w:widowControl/>
        <w:rPr>
          <w:rFonts w:ascii="黑体" w:hAnsi="黑体" w:eastAsia="黑体" w:cs="方正仿宋_GB2312"/>
          <w:bCs/>
          <w:kern w:val="1"/>
          <w:sz w:val="32"/>
          <w:szCs w:val="32"/>
        </w:rPr>
      </w:pPr>
    </w:p>
    <w:p>
      <w:pPr>
        <w:spacing w:line="560" w:lineRule="exact"/>
        <w:ind w:left="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日期：2024年月   日</w:t>
      </w:r>
    </w:p>
    <w:p>
      <w:pPr>
        <w:widowControl/>
        <w:rPr>
          <w:rFonts w:ascii="黑体" w:hAnsi="黑体" w:eastAsia="黑体" w:cs="方正仿宋_GB2312"/>
          <w:bCs/>
          <w:kern w:val="1"/>
          <w:sz w:val="32"/>
          <w:szCs w:val="32"/>
        </w:rPr>
      </w:pPr>
      <w:r>
        <w:rPr>
          <w:rFonts w:hint="eastAsia" w:ascii="黑体" w:hAnsi="黑体" w:eastAsia="黑体" w:cs="方正仿宋_GB2312"/>
          <w:bCs/>
          <w:kern w:val="1"/>
          <w:sz w:val="32"/>
          <w:szCs w:val="32"/>
        </w:rPr>
        <w:t>附件4</w:t>
      </w:r>
    </w:p>
    <w:p>
      <w:pPr>
        <w:spacing w:line="360" w:lineRule="auto"/>
        <w:jc w:val="center"/>
        <w:rPr>
          <w:rFonts w:ascii="宋体" w:hAnsi="宋体" w:cs="仿宋"/>
          <w:sz w:val="36"/>
          <w:szCs w:val="36"/>
        </w:rPr>
      </w:pPr>
      <w:r>
        <w:rPr>
          <w:rFonts w:hint="eastAsia" w:ascii="宋体" w:hAnsi="宋体" w:cs="仿宋"/>
          <w:sz w:val="36"/>
          <w:szCs w:val="36"/>
        </w:rPr>
        <w:t>报价文件包装袋密封件正面和封口格式</w:t>
      </w:r>
    </w:p>
    <w:p>
      <w:pPr>
        <w:wordWrap w:val="0"/>
        <w:spacing w:line="520" w:lineRule="exact"/>
        <w:jc w:val="center"/>
        <w:rPr>
          <w:rFonts w:ascii="仿宋" w:hAnsi="仿宋" w:eastAsia="仿宋" w:cs="仿宋"/>
          <w:kern w:val="1"/>
          <w:sz w:val="32"/>
          <w:szCs w:val="32"/>
          <w:lang w:val="zh-CN"/>
        </w:rPr>
      </w:pPr>
      <w:r>
        <w:rPr>
          <w:rFonts w:hint="eastAsia" w:ascii="仿宋" w:hAnsi="仿宋" w:eastAsia="仿宋" w:cs="仿宋"/>
          <w:kern w:val="1"/>
          <w:sz w:val="32"/>
          <w:szCs w:val="32"/>
          <w:lang w:val="zh-CN"/>
        </w:rPr>
        <w:t>报价文件包装袋密封件正面格式</w:t>
      </w:r>
    </w:p>
    <w:tbl>
      <w:tblPr>
        <w:tblStyle w:val="10"/>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60" w:type="dxa"/>
          </w:tcPr>
          <w:p>
            <w:pPr>
              <w:ind w:right="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收件人：</w:t>
            </w:r>
            <w:r>
              <w:rPr>
                <w:rFonts w:ascii="仿宋_GB2312" w:hAnsi="宋体" w:eastAsia="仿宋_GB2312" w:cs="仿宋_GB2312"/>
                <w:color w:val="000000" w:themeColor="text1"/>
                <w:sz w:val="32"/>
                <w:szCs w:val="32"/>
                <w14:textFill>
                  <w14:solidFill>
                    <w14:schemeClr w14:val="tx1"/>
                  </w14:solidFill>
                </w14:textFill>
              </w:rPr>
              <w:t>青岛城</w:t>
            </w:r>
            <w:r>
              <w:rPr>
                <w:rFonts w:hint="eastAsia" w:ascii="仿宋_GB2312" w:hAnsi="宋体" w:eastAsia="仿宋_GB2312" w:cs="仿宋_GB2312"/>
                <w:color w:val="000000" w:themeColor="text1"/>
                <w:sz w:val="32"/>
                <w:szCs w:val="32"/>
                <w14:textFill>
                  <w14:solidFill>
                    <w14:schemeClr w14:val="tx1"/>
                  </w14:solidFill>
                </w14:textFill>
              </w:rPr>
              <w:t>投商业资产运营管理集团</w:t>
            </w:r>
            <w:r>
              <w:rPr>
                <w:rFonts w:ascii="仿宋_GB2312" w:hAnsi="宋体" w:eastAsia="仿宋_GB2312" w:cs="仿宋_GB2312"/>
                <w:color w:val="000000" w:themeColor="text1"/>
                <w:sz w:val="32"/>
                <w:szCs w:val="32"/>
                <w14:textFill>
                  <w14:solidFill>
                    <w14:schemeClr w14:val="tx1"/>
                  </w14:solidFill>
                </w14:textFill>
              </w:rPr>
              <w:t>有限公司</w:t>
            </w:r>
          </w:p>
          <w:p>
            <w:pPr>
              <w:spacing w:line="560" w:lineRule="exact"/>
              <w:jc w:val="left"/>
              <w:rPr>
                <w:rFonts w:ascii="仿宋_GB2312"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项目名称： </w:t>
            </w:r>
            <w:r>
              <w:rPr>
                <w:rFonts w:hint="eastAsia" w:ascii="仿宋_GB2312" w:hAnsi="黑体" w:eastAsia="仿宋_GB2312" w:cs="黑体"/>
                <w:color w:val="000000" w:themeColor="text1"/>
                <w:sz w:val="32"/>
                <w:szCs w:val="32"/>
                <w14:textFill>
                  <w14:solidFill>
                    <w14:schemeClr w14:val="tx1"/>
                  </w14:solidFill>
                </w14:textFill>
              </w:rPr>
              <w:t>选聘安全技术服务机构项目</w:t>
            </w:r>
            <w:r>
              <w:rPr>
                <w:rFonts w:hint="eastAsia" w:ascii="仿宋" w:hAnsi="仿宋" w:eastAsia="仿宋" w:cs="仿宋"/>
                <w:color w:val="000000" w:themeColor="text1"/>
                <w:sz w:val="32"/>
                <w:szCs w:val="32"/>
                <w14:textFill>
                  <w14:solidFill>
                    <w14:schemeClr w14:val="tx1"/>
                  </w14:solidFill>
                </w14:textFill>
              </w:rPr>
              <w:t xml:space="preserve">    </w:t>
            </w:r>
          </w:p>
          <w:p>
            <w:pPr>
              <w:spacing w:line="600" w:lineRule="exact"/>
              <w:jc w:val="center"/>
              <w:rPr>
                <w:rFonts w:ascii="仿宋" w:hAnsi="仿宋" w:eastAsia="仿宋" w:cs="仿宋"/>
                <w:bCs/>
                <w:color w:val="000000" w:themeColor="text1"/>
                <w:sz w:val="32"/>
                <w:szCs w:val="32"/>
                <w:lang w:val="zh-CN"/>
                <w14:textFill>
                  <w14:solidFill>
                    <w14:schemeClr w14:val="tx1"/>
                  </w14:solidFill>
                </w14:textFill>
              </w:rPr>
            </w:pPr>
            <w:r>
              <w:rPr>
                <w:rFonts w:hint="eastAsia" w:ascii="仿宋" w:hAnsi="仿宋" w:eastAsia="仿宋" w:cs="仿宋"/>
                <w:bCs/>
                <w:color w:val="000000" w:themeColor="text1"/>
                <w:sz w:val="32"/>
                <w:szCs w:val="32"/>
                <w:lang w:val="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报价文件</w:t>
            </w:r>
            <w:r>
              <w:rPr>
                <w:rFonts w:hint="eastAsia" w:ascii="仿宋" w:hAnsi="仿宋" w:eastAsia="仿宋" w:cs="仿宋"/>
                <w:bCs/>
                <w:color w:val="000000" w:themeColor="text1"/>
                <w:sz w:val="32"/>
                <w:szCs w:val="32"/>
                <w:lang w:val="zh-CN"/>
                <w14:textFill>
                  <w14:solidFill>
                    <w14:schemeClr w14:val="tx1"/>
                  </w14:solidFill>
                </w14:textFill>
              </w:rPr>
              <w:t>）</w:t>
            </w:r>
          </w:p>
          <w:p>
            <w:pPr>
              <w:spacing w:line="60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报价单位名称：</w:t>
            </w:r>
          </w:p>
          <w:p>
            <w:pPr>
              <w:spacing w:line="60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报价单位地址：</w:t>
            </w:r>
          </w:p>
          <w:p>
            <w:pPr>
              <w:spacing w:line="600" w:lineRule="exact"/>
              <w:ind w:firstLine="3840" w:firstLineChars="1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2024年</w:t>
            </w:r>
            <w:bookmarkStart w:id="1" w:name="_GoBack"/>
            <w:bookmarkEnd w:id="1"/>
            <w:r>
              <w:rPr>
                <w:rFonts w:hint="eastAsia" w:ascii="仿宋" w:hAnsi="仿宋" w:eastAsia="仿宋" w:cs="仿宋"/>
                <w:color w:val="000000" w:themeColor="text1"/>
                <w:sz w:val="32"/>
                <w:szCs w:val="32"/>
                <w14:textFill>
                  <w14:solidFill>
                    <w14:schemeClr w14:val="tx1"/>
                  </w14:solidFill>
                </w14:textFill>
              </w:rPr>
              <w:t>月  日</w:t>
            </w:r>
          </w:p>
          <w:p>
            <w:pPr>
              <w:spacing w:line="600" w:lineRule="exact"/>
              <w:jc w:val="center"/>
              <w:rPr>
                <w:rFonts w:ascii="仿宋" w:hAnsi="仿宋" w:eastAsia="仿宋" w:cs="仿宋"/>
                <w:color w:val="000000" w:themeColor="text1"/>
                <w:sz w:val="32"/>
                <w:szCs w:val="32"/>
                <w14:textFill>
                  <w14:solidFill>
                    <w14:schemeClr w14:val="tx1"/>
                  </w14:solidFill>
                </w14:textFill>
              </w:rPr>
            </w:pPr>
          </w:p>
          <w:p>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加盖投标单位公章</w:t>
            </w:r>
          </w:p>
        </w:tc>
      </w:tr>
    </w:tbl>
    <w:p>
      <w:pPr>
        <w:spacing w:line="600" w:lineRule="exact"/>
        <w:rPr>
          <w:rFonts w:ascii="仿宋_GB2312" w:hAnsi="仿宋" w:eastAsia="仿宋_GB2312" w:cs="仿宋"/>
          <w:color w:val="000000" w:themeColor="text1"/>
          <w:sz w:val="28"/>
          <w:szCs w:val="28"/>
          <w14:textFill>
            <w14:solidFill>
              <w14:schemeClr w14:val="tx1"/>
            </w14:solidFill>
          </w14:textFill>
        </w:rPr>
      </w:pPr>
    </w:p>
    <w:p>
      <w:pPr>
        <w:spacing w:line="60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报价文件包装袋密封件封口格式</w:t>
      </w:r>
    </w:p>
    <w:tbl>
      <w:tblPr>
        <w:tblStyle w:val="1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9300" w:type="dxa"/>
          </w:tcPr>
          <w:p>
            <w:pPr>
              <w:spacing w:line="600" w:lineRule="exact"/>
              <w:rPr>
                <w:rFonts w:ascii="仿宋" w:hAnsi="仿宋" w:eastAsia="仿宋" w:cs="仿宋"/>
                <w:color w:val="000000" w:themeColor="text1"/>
                <w:sz w:val="32"/>
                <w:szCs w:val="32"/>
                <w14:textFill>
                  <w14:solidFill>
                    <w14:schemeClr w14:val="tx1"/>
                  </w14:solidFill>
                </w14:textFill>
              </w:rPr>
            </w:pPr>
          </w:p>
          <w:p>
            <w:pPr>
              <w:spacing w:line="60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请勿在2024年3月   日    之前启封</w:t>
            </w:r>
          </w:p>
          <w:p>
            <w:pPr>
              <w:widowControl/>
              <w:spacing w:line="600" w:lineRule="exact"/>
              <w:jc w:val="left"/>
              <w:rPr>
                <w:rFonts w:ascii="仿宋" w:hAnsi="仿宋" w:eastAsia="仿宋" w:cs="仿宋"/>
                <w:color w:val="000000" w:themeColor="text1"/>
                <w:kern w:val="0"/>
                <w:sz w:val="32"/>
                <w:szCs w:val="32"/>
                <w14:textFill>
                  <w14:solidFill>
                    <w14:schemeClr w14:val="tx1"/>
                  </w14:solidFill>
                </w14:textFill>
              </w:rPr>
            </w:pPr>
          </w:p>
          <w:p>
            <w:pPr>
              <w:widowControl/>
              <w:spacing w:line="600" w:lineRule="exact"/>
              <w:jc w:val="left"/>
              <w:rPr>
                <w:rFonts w:ascii="仿宋" w:hAnsi="仿宋" w:eastAsia="仿宋" w:cs="仿宋"/>
                <w:color w:val="000000" w:themeColor="text1"/>
                <w:kern w:val="0"/>
                <w:sz w:val="32"/>
                <w:szCs w:val="32"/>
                <w14:textFill>
                  <w14:solidFill>
                    <w14:schemeClr w14:val="tx1"/>
                  </w14:solidFill>
                </w14:textFill>
              </w:rPr>
            </w:pPr>
          </w:p>
          <w:p>
            <w:pPr>
              <w:spacing w:line="60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加盖投标单位公章 </w:t>
            </w:r>
          </w:p>
          <w:p>
            <w:pPr>
              <w:spacing w:line="600" w:lineRule="exact"/>
              <w:jc w:val="center"/>
              <w:rPr>
                <w:rFonts w:ascii="仿宋" w:hAnsi="仿宋" w:eastAsia="仿宋" w:cs="仿宋"/>
                <w:color w:val="000000" w:themeColor="text1"/>
                <w:sz w:val="32"/>
                <w:szCs w:val="32"/>
                <w14:textFill>
                  <w14:solidFill>
                    <w14:schemeClr w14:val="tx1"/>
                  </w14:solidFill>
                </w14:textFill>
              </w:rPr>
            </w:pPr>
          </w:p>
        </w:tc>
      </w:tr>
    </w:tbl>
    <w:p>
      <w:pPr>
        <w:pStyle w:val="2"/>
        <w:rPr>
          <w:rFonts w:ascii="仿宋_GB2312" w:hAnsi="仿宋_GB2312" w:eastAsia="仿宋_GB2312" w:cs="仿宋_GB2312"/>
          <w:color w:val="auto"/>
          <w:sz w:val="32"/>
          <w:szCs w:val="32"/>
        </w:rPr>
      </w:pPr>
    </w:p>
    <w:p/>
    <w:sectPr>
      <w:pgSz w:w="11906" w:h="16838"/>
      <w:pgMar w:top="2098" w:right="1474" w:bottom="1984" w:left="1588" w:header="851" w:footer="992" w:gutter="0"/>
      <w:pgNumType w:fmt="numberInDash"/>
      <w:cols w:space="0" w:num="1"/>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E54B27"/>
    <w:multiLevelType w:val="singleLevel"/>
    <w:tmpl w:val="B9E54B27"/>
    <w:lvl w:ilvl="0" w:tentative="0">
      <w:start w:val="5"/>
      <w:numFmt w:val="chineseCounting"/>
      <w:suff w:val="nothing"/>
      <w:lvlText w:val="%1、"/>
      <w:lvlJc w:val="left"/>
      <w:rPr>
        <w:rFonts w:hint="eastAsia"/>
      </w:rPr>
    </w:lvl>
  </w:abstractNum>
  <w:num w:numId="1">
    <w:abstractNumId w:val="0"/>
  </w:num>
</w:numbering>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96BE6-20C9-4652-9ADB-713313844F9C}">
  <ds:schemaRefs/>
</ds:datastoreItem>
</file>