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lang w:val="en-US" w:eastAsia="zh-CN"/>
        </w:rPr>
        <w:t>仙桃</w:t>
      </w:r>
      <w:r>
        <w:rPr>
          <w:rFonts w:hint="eastAsia" w:ascii="方正小标宋_GBK" w:hAnsi="宋体" w:eastAsia="方正小标宋_GBK" w:cs="Arial"/>
          <w:kern w:val="0"/>
          <w:sz w:val="44"/>
          <w:szCs w:val="44"/>
        </w:rPr>
        <w:t>光伏电站监控自动化系统</w:t>
      </w:r>
      <w:r>
        <w:rPr>
          <w:rFonts w:hint="eastAsia" w:ascii="方正小标宋_GBK" w:hAnsi="宋体" w:eastAsia="方正小标宋_GBK" w:cs="Arial"/>
          <w:kern w:val="0"/>
          <w:sz w:val="44"/>
          <w:szCs w:val="44"/>
          <w:lang w:val="en-US" w:eastAsia="zh-CN"/>
        </w:rPr>
        <w:t>修复</w:t>
      </w:r>
      <w:r>
        <w:rPr>
          <w:rFonts w:hint="eastAsia" w:ascii="方正小标宋_GBK" w:hAnsi="宋体" w:eastAsia="方正小标宋_GBK" w:cs="Arial"/>
          <w:kern w:val="0"/>
          <w:sz w:val="44"/>
          <w:szCs w:val="44"/>
        </w:rPr>
        <w:t>项目</w:t>
      </w:r>
    </w:p>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询价采购公告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仙桃汉盛太阳能科技有限公司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eastAsia="zh-CN"/>
        </w:rPr>
        <w:t>仙桃电站监控自动化系统修复项目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eastAsia="zh-CN"/>
        </w:rPr>
        <w:t>仙桃汉盛太阳能科技有限公司</w:t>
      </w:r>
      <w:r>
        <w:rPr>
          <w:rFonts w:hint="default" w:ascii="仿宋_GB2312" w:hAnsi="仿宋_GB2312" w:eastAsia="仿宋_GB2312" w:cs="仿宋_GB2312"/>
          <w:sz w:val="32"/>
          <w:szCs w:val="32"/>
        </w:rPr>
        <w:t>后台电脑系统版本老旧数据保存不全面、服务器卡顿，</w:t>
      </w:r>
      <w:r>
        <w:rPr>
          <w:rFonts w:hint="eastAsia" w:ascii="仿宋_GB2312" w:hAnsi="仿宋_GB2312" w:eastAsia="仿宋_GB2312" w:cs="仿宋_GB2312"/>
          <w:sz w:val="32"/>
          <w:szCs w:val="32"/>
          <w:lang w:eastAsia="zh-CN"/>
        </w:rPr>
        <w:t>需要采购服务器</w:t>
      </w:r>
      <w:r>
        <w:rPr>
          <w:rFonts w:hint="eastAsia" w:ascii="仿宋_GB2312" w:hAnsi="仿宋_GB2312" w:eastAsia="仿宋_GB2312" w:cs="仿宋_GB2312"/>
          <w:sz w:val="32"/>
          <w:szCs w:val="32"/>
          <w:lang w:val="en-US" w:eastAsia="zh-CN"/>
        </w:rPr>
        <w:t>1台，</w:t>
      </w:r>
      <w:r>
        <w:rPr>
          <w:rFonts w:hint="eastAsia" w:ascii="仿宋_GB2312" w:hAnsi="仿宋_GB2312" w:eastAsia="仿宋_GB2312" w:cs="仿宋_GB2312"/>
          <w:sz w:val="32"/>
          <w:szCs w:val="32"/>
          <w:lang w:eastAsia="zh-CN"/>
        </w:rPr>
        <w:t>更换</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lang w:eastAsia="zh-CN"/>
        </w:rPr>
        <w:t>监控后台系统，</w:t>
      </w:r>
      <w:r>
        <w:rPr>
          <w:rFonts w:hint="eastAsia" w:ascii="仿宋_GB2312" w:hAnsi="仿宋_GB2312" w:eastAsia="仿宋_GB2312" w:cs="仿宋_GB2312"/>
          <w:sz w:val="32"/>
          <w:szCs w:val="32"/>
          <w:lang w:val="en-US" w:eastAsia="zh-CN"/>
        </w:rPr>
        <w:t>需进行安装调试，恢复正常。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湖北</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仙桃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仙桃光伏电站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5.采购预算：</w:t>
      </w:r>
      <w:r>
        <w:rPr>
          <w:rFonts w:hint="eastAsia" w:ascii="仿宋_GB2312" w:hAnsi="仿宋" w:eastAsia="仿宋_GB2312" w:cs="Arial"/>
          <w:kern w:val="0"/>
          <w:sz w:val="32"/>
          <w:szCs w:val="32"/>
          <w:lang w:val="en-US" w:eastAsia="zh-CN"/>
        </w:rPr>
        <w:t>79800</w:t>
      </w:r>
      <w:r>
        <w:rPr>
          <w:rFonts w:hint="eastAsia" w:ascii="仿宋_GB2312" w:hAnsi="仿宋" w:eastAsia="仿宋_GB2312" w:cs="Arial"/>
          <w:kern w:val="0"/>
          <w:sz w:val="32"/>
          <w:szCs w:val="32"/>
        </w:rPr>
        <w:t>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pPr>
      <w:r>
        <w:rPr>
          <w:rFonts w:hint="eastAsia" w:ascii="仿宋_GB2312" w:hAnsi="仿宋_GB2312" w:eastAsia="仿宋_GB2312" w:cs="仿宋_GB2312"/>
          <w:sz w:val="32"/>
          <w:szCs w:val="32"/>
        </w:rPr>
        <w:t>2.具有近三年（2021年1月1日至今）至少一项</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电站后台监控或调度数据网通讯相关</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供货或安装或维修服务业绩。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三、合同主要条款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（1）采购服务器1台，电站目前使用的服务器厂家为：惠普：型号Z440 ，本次采购服务器要求：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1）配置：CPU：（8核16线程）*2；频率：3.0GHZ；电源：双电源；内存：32G；独立显卡；27寸1080p显示器。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2）安装国产操作系统。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（2）更换2套监控后台系统：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1）后台监控软件安装并调试，电站目前使用国电南瑞监控软件；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2）含后台服务器加装网安探针，并接入荆州地调；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3）数据库移植、调试、对点、上传调度；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4）监控后台与光伏区（箱变、逆变器、汇流箱）数据通讯检查及接入SVG。</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2.工期要求：合同签订之日起30日内完成全部服务内容并通过甲方验收合格。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3.付款方式：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合同生效后，乙方提供合同总金额30%的增值税专用发票，甲方收到发票后20日内支付对应款项。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乙方完成全部监控自动化系统修复工作并经甲方验收合格后，乙方向甲方开具合同总金额65%的增值税专用发票，甲方收到发票后20日内支付对应款项。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质保金5%，质保金不计取利息。质保期内无质量问题，质保期满后乙方向甲方开具合同总金额5%的增值税专用发票，甲方收到发票后20日内支付对应款项。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4.质保期：自验收合格日起质保期2年，质保期内出现任何与本次服务相关质量问题，乙方应在24小时内响应，并在5个工作日内进行免费修理或更换以消除质量问题。最终以双方签署的合同为准。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1.投标报价应为含税全包价，包括提供相关服务的所有费用，包括人工费、设备材料费、机械使用费利润、税金、综合考虑风险因素及政策性文件规定的各项应有费用。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电站后台监控或调度数据网通讯相关供货或安装或维修服务工作内容</w:t>
      </w:r>
      <w:r>
        <w:rPr>
          <w:rFonts w:hint="eastAsia" w:ascii="仿宋_GB2312" w:hAnsi="仿宋" w:eastAsia="仿宋_GB2312" w:cs="Arial"/>
          <w:kern w:val="0"/>
          <w:sz w:val="32"/>
          <w:szCs w:val="32"/>
        </w:rPr>
        <w:t>的合同关键页）等。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以上材料需装订成册，其中第（1）（2）条需按附件格式打印并加盖公章，第（3）（4）条可提供复印件并加盖公章。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bCs/>
          <w:kern w:val="0"/>
          <w:sz w:val="32"/>
          <w:szCs w:val="32"/>
        </w:rPr>
      </w:pPr>
      <w:r>
        <w:rPr>
          <w:rFonts w:hint="eastAsia" w:ascii="黑体" w:hAnsi="黑体" w:eastAsia="黑体" w:cs="黑体"/>
          <w:bCs/>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w:t>
      </w:r>
      <w:r>
        <w:rPr>
          <w:rFonts w:hint="eastAsia" w:ascii="仿宋_GB2312" w:hAnsi="仿宋" w:eastAsia="仿宋_GB2312" w:cs="Arial"/>
          <w:kern w:val="0"/>
          <w:sz w:val="32"/>
          <w:szCs w:val="32"/>
          <w:lang w:val="en-US" w:eastAsia="zh-CN"/>
        </w:rPr>
        <w:t xml:space="preserve">2024 </w:t>
      </w:r>
      <w:r>
        <w:rPr>
          <w:rFonts w:hint="eastAsia" w:ascii="仿宋_GB2312" w:hAnsi="仿宋" w:eastAsia="仿宋_GB2312" w:cs="Arial"/>
          <w:kern w:val="0"/>
          <w:sz w:val="32"/>
          <w:szCs w:val="32"/>
        </w:rPr>
        <w:t>年</w:t>
      </w:r>
      <w:r>
        <w:rPr>
          <w:rFonts w:ascii="仿宋_GB2312" w:hAnsi="仿宋" w:eastAsia="仿宋_GB2312" w:cs="Arial"/>
          <w:kern w:val="0"/>
          <w:sz w:val="32"/>
          <w:szCs w:val="32"/>
        </w:rPr>
        <w:t xml:space="preserve"> </w:t>
      </w:r>
      <w:r>
        <w:rPr>
          <w:rFonts w:hint="eastAsia" w:ascii="仿宋_GB2312" w:hAnsi="仿宋" w:eastAsia="仿宋_GB2312" w:cs="Arial"/>
          <w:kern w:val="0"/>
          <w:sz w:val="32"/>
          <w:szCs w:val="32"/>
          <w:lang w:val="en-US" w:eastAsia="zh-CN"/>
        </w:rPr>
        <w:t xml:space="preserve">3 </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 xml:space="preserve"> 13 </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 xml:space="preserve"> 10 ：00 </w:t>
      </w:r>
      <w:r>
        <w:rPr>
          <w:rFonts w:hint="eastAsia" w:ascii="仿宋_GB2312" w:hAnsi="仿宋" w:eastAsia="仿宋_GB2312" w:cs="Arial"/>
          <w:kern w:val="0"/>
          <w:sz w:val="32"/>
          <w:szCs w:val="32"/>
        </w:rPr>
        <w:t>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w:t>
      </w:r>
      <w:r>
        <w:rPr>
          <w:rFonts w:hint="eastAsia" w:ascii="仿宋_GB2312" w:hAnsi="仿宋" w:eastAsia="仿宋_GB2312" w:cs="Arial"/>
          <w:kern w:val="0"/>
          <w:sz w:val="32"/>
          <w:szCs w:val="32"/>
          <w:lang w:val="en-US" w:eastAsia="zh-CN"/>
        </w:rPr>
        <w:t>香港东路195号T2写字楼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color w:val="auto"/>
          <w:kern w:val="0"/>
          <w:sz w:val="32"/>
          <w:szCs w:val="32"/>
          <w:lang w:val="en-US" w:eastAsia="zh-CN"/>
        </w:rPr>
        <w:t>罗星</w:t>
      </w:r>
      <w:r>
        <w:rPr>
          <w:rFonts w:hint="eastAsia" w:ascii="仿宋_GB2312" w:hAnsi="仿宋" w:eastAsia="仿宋_GB2312" w:cs="仿宋_GB2312"/>
          <w:color w:val="FF0000"/>
          <w:kern w:val="0"/>
          <w:sz w:val="32"/>
          <w:szCs w:val="32"/>
        </w:rPr>
        <w:t xml:space="preserve">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15170203680</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Arial"/>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lang w:eastAsia="zh-CN"/>
        </w:rPr>
        <w:t>仙桃汉盛太阳能科技有限公司</w:t>
      </w:r>
    </w:p>
    <w:p>
      <w:pPr>
        <w:keepNext w:val="0"/>
        <w:keepLines w:val="0"/>
        <w:pageBreakBefore w:val="0"/>
        <w:kinsoku/>
        <w:wordWrap/>
        <w:overflowPunct/>
        <w:topLinePunct w:val="0"/>
        <w:autoSpaceDE/>
        <w:autoSpaceDN/>
        <w:bidi w:val="0"/>
        <w:adjustRightInd/>
        <w:snapToGrid/>
        <w:spacing w:before="60" w:after="60" w:line="560" w:lineRule="exact"/>
        <w:ind w:firstLine="640" w:firstLineChars="200"/>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 xml:space="preserve">4年 2 </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 xml:space="preserve"> 28 </w:t>
      </w:r>
      <w:r>
        <w:rPr>
          <w:rFonts w:hint="eastAsia" w:ascii="仿宋_GB2312" w:hAnsi="仿宋" w:eastAsia="仿宋_GB2312" w:cs="仿宋"/>
          <w:sz w:val="32"/>
          <w:szCs w:val="32"/>
        </w:rPr>
        <w:t>日</w:t>
      </w:r>
    </w:p>
    <w:p>
      <w:pPr>
        <w:pStyle w:val="4"/>
      </w:pPr>
    </w:p>
    <w:p>
      <w:pPr>
        <w:rPr>
          <w:rFonts w:hint="eastAsia" w:ascii="仿宋_GB2312" w:hAnsi="仿宋" w:eastAsia="仿宋_GB2312" w:cs="仿宋"/>
          <w:sz w:val="32"/>
          <w:szCs w:val="32"/>
        </w:rPr>
      </w:pPr>
    </w:p>
    <w:p>
      <w:pPr>
        <w:pStyle w:val="4"/>
      </w:pPr>
    </w:p>
    <w:p>
      <w:pPr>
        <w:rPr>
          <w:rFonts w:hint="eastAsia" w:ascii="仿宋_GB2312" w:hAnsi="仿宋" w:eastAsia="仿宋_GB2312" w:cs="仿宋"/>
          <w:sz w:val="32"/>
          <w:szCs w:val="32"/>
        </w:rPr>
      </w:pPr>
    </w:p>
    <w:p>
      <w:pPr>
        <w:pStyle w:val="4"/>
        <w:numPr>
          <w:ilvl w:val="2"/>
          <w:numId w:val="0"/>
        </w:numPr>
      </w:pPr>
    </w:p>
    <w:p/>
    <w:p>
      <w:pPr>
        <w:pStyle w:val="2"/>
      </w:pPr>
    </w:p>
    <w:p>
      <w:pPr>
        <w:pStyle w:val="2"/>
      </w:pPr>
    </w:p>
    <w:p>
      <w:pPr>
        <w:pStyle w:val="2"/>
      </w:pPr>
    </w:p>
    <w:p>
      <w:pPr>
        <w:pStyle w:val="2"/>
      </w:pPr>
    </w:p>
    <w:p>
      <w:pPr>
        <w:pStyle w:val="2"/>
      </w:pPr>
    </w:p>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lang w:eastAsia="zh-CN"/>
        </w:rPr>
        <w:t>仙桃汉盛太阳能科技有限公司</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lang w:eastAsia="zh-CN"/>
        </w:rPr>
        <w:t>仙桃电站监控自动化系统修复项目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hint="eastAsia" w:ascii="宋体" w:hAnsi="宋体" w:cs="宋体"/>
          <w:b/>
          <w:kern w:val="0"/>
          <w:sz w:val="44"/>
          <w:szCs w:val="44"/>
        </w:rPr>
      </w:pPr>
      <w:r>
        <w:rPr>
          <w:rFonts w:hint="eastAsia" w:ascii="宋体" w:hAnsi="宋体" w:cs="宋体"/>
          <w:b/>
          <w:kern w:val="0"/>
          <w:sz w:val="44"/>
          <w:szCs w:val="44"/>
        </w:rPr>
        <w:t xml:space="preserve">  报价单</w:t>
      </w:r>
    </w:p>
    <w:p>
      <w:pPr>
        <w:autoSpaceDE w:val="0"/>
        <w:autoSpaceDN w:val="0"/>
        <w:adjustRightInd w:val="0"/>
        <w:spacing w:line="360" w:lineRule="auto"/>
        <w:rPr>
          <w:rFonts w:hint="eastAsia" w:ascii="仿宋_GB2312" w:hAnsi="宋体" w:eastAsia="仿宋_GB2312" w:cs="宋体"/>
          <w:kern w:val="1"/>
          <w:sz w:val="24"/>
          <w:szCs w:val="24"/>
          <w:lang w:eastAsia="zh-CN"/>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lang w:eastAsia="zh-CN"/>
        </w:rPr>
        <w:t>仙桃光伏电站监控自动化系统修复项目</w:t>
      </w:r>
    </w:p>
    <w:tbl>
      <w:tblPr>
        <w:tblStyle w:val="8"/>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207"/>
        <w:gridCol w:w="2976"/>
        <w:gridCol w:w="756"/>
        <w:gridCol w:w="1380"/>
        <w:gridCol w:w="100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1207"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297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项目特征</w:t>
            </w:r>
          </w:p>
        </w:tc>
        <w:tc>
          <w:tcPr>
            <w:tcW w:w="756"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lang w:val="en-US" w:eastAsia="zh-CN"/>
              </w:rPr>
              <w:t>数量</w:t>
            </w:r>
          </w:p>
        </w:tc>
        <w:tc>
          <w:tcPr>
            <w:tcW w:w="1380"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全费用综合单价（元）</w:t>
            </w:r>
          </w:p>
        </w:tc>
        <w:tc>
          <w:tcPr>
            <w:tcW w:w="1008"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rPr>
              <w:t>合价（元）</w:t>
            </w:r>
          </w:p>
        </w:tc>
        <w:tc>
          <w:tcPr>
            <w:tcW w:w="1079"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exact"/>
        </w:trPr>
        <w:tc>
          <w:tcPr>
            <w:tcW w:w="969" w:type="dxa"/>
            <w:vAlign w:val="center"/>
          </w:tcPr>
          <w:p>
            <w:pPr>
              <w:jc w:val="center"/>
              <w:rPr>
                <w:rFonts w:ascii="仿宋_GB2312" w:hAnsi="仿宋" w:eastAsia="仿宋_GB2312" w:cs="Arial"/>
                <w:sz w:val="18"/>
                <w:szCs w:val="18"/>
              </w:rPr>
            </w:pPr>
            <w:r>
              <w:rPr>
                <w:rFonts w:hint="eastAsia" w:ascii="仿宋_GB2312" w:hAnsi="仿宋" w:eastAsia="仿宋_GB2312" w:cs="Arial"/>
                <w:sz w:val="18"/>
                <w:szCs w:val="18"/>
              </w:rPr>
              <w:t>1</w:t>
            </w:r>
          </w:p>
        </w:tc>
        <w:tc>
          <w:tcPr>
            <w:tcW w:w="1207" w:type="dxa"/>
            <w:vAlign w:val="center"/>
          </w:tcPr>
          <w:p>
            <w:pPr>
              <w:jc w:val="center"/>
              <w:rPr>
                <w:rFonts w:hint="default" w:ascii="仿宋_GB2312" w:hAnsi="仿宋" w:eastAsia="仿宋_GB2312" w:cs="Arial"/>
                <w:sz w:val="18"/>
                <w:szCs w:val="18"/>
                <w:lang w:val="en-US" w:eastAsia="zh-CN"/>
              </w:rPr>
            </w:pPr>
            <w:r>
              <w:rPr>
                <w:rFonts w:hint="eastAsia" w:ascii="仿宋_GB2312" w:hAnsi="仿宋" w:eastAsia="仿宋_GB2312" w:cs="Arial"/>
                <w:i w:val="0"/>
                <w:iCs w:val="0"/>
                <w:color w:val="auto"/>
                <w:kern w:val="2"/>
                <w:sz w:val="18"/>
                <w:szCs w:val="18"/>
                <w:u w:val="none"/>
                <w:lang w:val="en-US" w:eastAsia="zh-CN" w:bidi="ar"/>
              </w:rPr>
              <w:t>服务器</w:t>
            </w:r>
          </w:p>
        </w:tc>
        <w:tc>
          <w:tcPr>
            <w:tcW w:w="2976" w:type="dxa"/>
            <w:vAlign w:val="center"/>
          </w:tcPr>
          <w:p>
            <w:pPr>
              <w:jc w:val="center"/>
              <w:rPr>
                <w:rFonts w:ascii="仿宋_GB2312" w:hAnsi="仿宋" w:eastAsia="仿宋_GB2312" w:cs="Arial"/>
                <w:sz w:val="24"/>
                <w:szCs w:val="24"/>
              </w:rPr>
            </w:pPr>
            <w:r>
              <w:rPr>
                <w:rFonts w:hint="eastAsia" w:ascii="仿宋_GB2312" w:hAnsi="仿宋_GB2312" w:eastAsia="仿宋_GB2312" w:cs="仿宋_GB2312"/>
                <w:sz w:val="18"/>
                <w:szCs w:val="18"/>
                <w:lang w:val="en-US" w:eastAsia="zh-CN"/>
              </w:rPr>
              <w:t>工作内容：更换后台监控服务器，设备采购、安装；配置：CPU：（8核16线程）*2；频率：3.0GHZ；电源：双电源；内存：32G；独立显卡；27寸1080p显示器。</w:t>
            </w:r>
          </w:p>
        </w:tc>
        <w:tc>
          <w:tcPr>
            <w:tcW w:w="756" w:type="dxa"/>
            <w:vAlign w:val="center"/>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1台</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exact"/>
        </w:trPr>
        <w:tc>
          <w:tcPr>
            <w:tcW w:w="969" w:type="dxa"/>
            <w:vAlign w:val="center"/>
          </w:tcPr>
          <w:p>
            <w:pPr>
              <w:jc w:val="center"/>
              <w:rPr>
                <w:rFonts w:hint="eastAsia" w:ascii="仿宋_GB2312" w:hAnsi="仿宋" w:eastAsia="仿宋_GB2312" w:cs="Arial"/>
                <w:sz w:val="18"/>
                <w:szCs w:val="18"/>
                <w:lang w:val="en-US" w:eastAsia="zh-CN"/>
              </w:rPr>
            </w:pPr>
            <w:r>
              <w:rPr>
                <w:rFonts w:hint="eastAsia" w:ascii="仿宋_GB2312" w:hAnsi="仿宋" w:eastAsia="仿宋_GB2312" w:cs="Arial"/>
                <w:sz w:val="18"/>
                <w:szCs w:val="18"/>
                <w:lang w:val="en-US" w:eastAsia="zh-CN"/>
              </w:rPr>
              <w:t>2</w:t>
            </w:r>
          </w:p>
        </w:tc>
        <w:tc>
          <w:tcPr>
            <w:tcW w:w="1207" w:type="dxa"/>
            <w:vAlign w:val="center"/>
          </w:tcPr>
          <w:p>
            <w:pPr>
              <w:jc w:val="center"/>
              <w:rPr>
                <w:rFonts w:hint="eastAsia" w:ascii="仿宋_GB2312" w:hAnsi="仿宋" w:eastAsia="仿宋_GB2312" w:cs="Arial"/>
                <w:sz w:val="18"/>
                <w:szCs w:val="18"/>
                <w:lang w:val="en-US" w:eastAsia="zh-CN"/>
              </w:rPr>
            </w:pPr>
            <w:r>
              <w:rPr>
                <w:rFonts w:hint="eastAsia" w:ascii="仿宋_GB2312" w:hAnsi="仿宋" w:eastAsia="仿宋_GB2312" w:cs="Arial"/>
                <w:i w:val="0"/>
                <w:iCs w:val="0"/>
                <w:color w:val="auto"/>
                <w:kern w:val="2"/>
                <w:sz w:val="18"/>
                <w:szCs w:val="18"/>
                <w:u w:val="none"/>
                <w:lang w:val="en-US" w:eastAsia="zh-CN" w:bidi="ar"/>
              </w:rPr>
              <w:t>监控后台系统</w:t>
            </w:r>
          </w:p>
        </w:tc>
        <w:tc>
          <w:tcPr>
            <w:tcW w:w="2976" w:type="dxa"/>
            <w:vAlign w:val="top"/>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1.工作内容：技术服务，重新安装并调试监控后台数据，保证现场数据实时回传，数据无错报，无延时，无错位信息；2.数据库移植、调试、对点、上传调度；3.含后台服务器加装网安探针，并接入荆州地调；4.监控后台与光伏区（箱变、逆变器、汇流箱）数据通讯检查及接入SVG。</w:t>
            </w:r>
            <w:r>
              <w:rPr>
                <w:rFonts w:hint="eastAsia" w:ascii="仿宋_GB2312" w:hAnsi="仿宋" w:eastAsia="仿宋_GB2312" w:cs="Arial"/>
                <w:sz w:val="18"/>
                <w:szCs w:val="18"/>
                <w:lang w:val="en-US" w:eastAsia="zh-CN"/>
              </w:rPr>
              <w:br w:type="textWrapping"/>
            </w:r>
          </w:p>
        </w:tc>
        <w:tc>
          <w:tcPr>
            <w:tcW w:w="756" w:type="dxa"/>
            <w:vAlign w:val="center"/>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2套</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2176"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含税总报价</w:t>
            </w:r>
          </w:p>
        </w:tc>
        <w:tc>
          <w:tcPr>
            <w:tcW w:w="7199" w:type="dxa"/>
            <w:gridSpan w:val="5"/>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SA"/>
        </w:rPr>
        <w:t>备注：</w:t>
      </w:r>
      <w:r>
        <w:rPr>
          <w:rFonts w:hint="eastAsia" w:asciiTheme="minorEastAsia" w:hAnsiTheme="minorEastAsia" w:eastAsiaTheme="minorEastAsia" w:cstheme="minorEastAsia"/>
          <w:kern w:val="2"/>
          <w:sz w:val="21"/>
          <w:szCs w:val="21"/>
        </w:rPr>
        <w:t>设备</w:t>
      </w:r>
      <w:r>
        <w:rPr>
          <w:rFonts w:hint="eastAsia" w:asciiTheme="minorEastAsia" w:hAnsiTheme="minorEastAsia" w:eastAsiaTheme="minorEastAsia" w:cstheme="minorEastAsia"/>
          <w:kern w:val="2"/>
          <w:sz w:val="21"/>
          <w:szCs w:val="21"/>
          <w:lang w:val="en-US" w:eastAsia="zh-CN"/>
        </w:rPr>
        <w:t>材料</w:t>
      </w:r>
      <w:r>
        <w:rPr>
          <w:rFonts w:hint="eastAsia" w:asciiTheme="minorEastAsia" w:hAnsiTheme="minorEastAsia" w:eastAsiaTheme="minorEastAsia" w:cstheme="minorEastAsia"/>
          <w:kern w:val="2"/>
          <w:sz w:val="21"/>
          <w:szCs w:val="21"/>
        </w:rPr>
        <w:t>部分开具税率为13%</w:t>
      </w:r>
      <w:r>
        <w:rPr>
          <w:rFonts w:hint="eastAsia" w:asciiTheme="minorEastAsia" w:hAnsiTheme="minorEastAsia" w:eastAsiaTheme="minorEastAsia" w:cstheme="minorEastAsia"/>
          <w:kern w:val="2"/>
          <w:sz w:val="21"/>
          <w:szCs w:val="21"/>
          <w:lang w:val="en-US" w:eastAsia="zh-CN"/>
        </w:rPr>
        <w:t>的</w:t>
      </w:r>
      <w:r>
        <w:rPr>
          <w:rFonts w:hint="eastAsia" w:asciiTheme="minorEastAsia" w:hAnsiTheme="minorEastAsia" w:eastAsiaTheme="minorEastAsia" w:cstheme="minorEastAsia"/>
          <w:kern w:val="2"/>
          <w:sz w:val="21"/>
          <w:szCs w:val="21"/>
        </w:rPr>
        <w:t>增值税专用发票，其他部分开具</w:t>
      </w:r>
      <w:r>
        <w:rPr>
          <w:rFonts w:hint="eastAsia" w:asciiTheme="minorEastAsia" w:hAnsiTheme="minorEastAsia" w:eastAsiaTheme="minorEastAsia" w:cstheme="minorEastAsia"/>
          <w:kern w:val="2"/>
          <w:sz w:val="21"/>
          <w:szCs w:val="21"/>
          <w:lang w:val="en-US" w:eastAsia="zh-CN"/>
        </w:rPr>
        <w:t>税率为6%</w:t>
      </w:r>
      <w:r>
        <w:rPr>
          <w:rFonts w:hint="eastAsia" w:asciiTheme="minorEastAsia" w:hAnsiTheme="minorEastAsia" w:eastAsiaTheme="minorEastAsia" w:cstheme="minorEastAsia"/>
          <w:kern w:val="2"/>
          <w:sz w:val="21"/>
          <w:szCs w:val="21"/>
        </w:rPr>
        <w:t>的增值税专用发票。</w:t>
      </w:r>
    </w:p>
    <w:p>
      <w:pPr>
        <w:spacing w:line="600" w:lineRule="exact"/>
        <w:rPr>
          <w:rFonts w:hint="eastAsia"/>
        </w:rPr>
      </w:pP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hint="eastAsia" w:ascii="仿宋" w:hAnsi="仿宋" w:eastAsia="仿宋" w:cs="仿宋"/>
          <w:sz w:val="32"/>
          <w:szCs w:val="32"/>
        </w:rPr>
        <w:t xml:space="preserve">    </w:t>
      </w:r>
      <w:r>
        <w:rPr>
          <w:rFonts w:hint="eastAsia" w:ascii="仿宋" w:hAnsi="仿宋" w:eastAsia="仿宋" w:cs="仿宋"/>
          <w:sz w:val="32"/>
          <w:szCs w:val="32"/>
          <w:lang w:val="zh-CN"/>
        </w:rPr>
        <w:t>期：</w:t>
      </w:r>
      <w:r>
        <w:rPr>
          <w:rFonts w:hint="eastAsia" w:ascii="仿宋" w:hAnsi="仿宋" w:eastAsia="仿宋" w:cs="仿宋"/>
          <w:sz w:val="32"/>
          <w:szCs w:val="32"/>
          <w:lang w:val="en-US" w:eastAsia="zh-CN"/>
        </w:rPr>
        <w:t xml:space="preserve">   </w:t>
      </w:r>
      <w:r>
        <w:rPr>
          <w:rFonts w:hint="eastAsia" w:ascii="仿宋" w:hAnsi="仿宋" w:eastAsia="仿宋" w:cs="宋体"/>
          <w:sz w:val="32"/>
          <w:szCs w:val="32"/>
        </w:rPr>
        <w:t xml:space="preserve">年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 月   日</w:t>
      </w:r>
    </w:p>
    <w:p>
      <w:pPr>
        <w:rPr>
          <w:lang w:val="zh-CN"/>
        </w:rPr>
      </w:pPr>
    </w:p>
    <w:p>
      <w:pPr>
        <w:snapToGrid w:val="0"/>
        <w:spacing w:line="360" w:lineRule="auto"/>
        <w:rPr>
          <w:rFonts w:hint="eastAsia"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w:t>
      </w:r>
      <w:r>
        <w:rPr>
          <w:rFonts w:hint="eastAsia" w:ascii="仿宋" w:hAnsi="仿宋" w:eastAsia="仿宋"/>
          <w:sz w:val="32"/>
          <w:szCs w:val="32"/>
          <w:lang w:val="en-US" w:eastAsia="zh-CN"/>
        </w:rPr>
        <w:t>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收件人：</w:t>
            </w:r>
            <w:r>
              <w:rPr>
                <w:rFonts w:hint="eastAsia" w:ascii="仿宋" w:hAnsi="仿宋" w:eastAsia="仿宋" w:cs="仿宋"/>
                <w:sz w:val="28"/>
                <w:szCs w:val="28"/>
                <w:lang w:eastAsia="zh-CN"/>
              </w:rPr>
              <w:t>仙桃汉盛太阳能科技有限公司</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仙桃电站监控自动化系统修复项目</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3"/>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ind w:firstLine="840" w:firstLineChars="300"/>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w:t>
            </w:r>
            <w:r>
              <w:rPr>
                <w:rFonts w:hint="eastAsia" w:ascii="仿宋" w:hAnsi="仿宋" w:eastAsia="仿宋" w:cs="仿宋"/>
                <w:sz w:val="28"/>
                <w:szCs w:val="28"/>
                <w:lang w:val="en-US" w:eastAsia="zh-CN"/>
              </w:rPr>
              <w:t xml:space="preserve"> 2024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13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10 </w:t>
            </w:r>
            <w:r>
              <w:rPr>
                <w:rFonts w:hint="eastAsia" w:ascii="仿宋" w:hAnsi="仿宋" w:eastAsia="仿宋" w:cs="仿宋"/>
                <w:sz w:val="28"/>
                <w:szCs w:val="28"/>
              </w:rPr>
              <w:t>：00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bookmarkStart w:id="0" w:name="_GoBack"/>
            <w:bookmarkEnd w:id="0"/>
          </w:p>
          <w:p>
            <w:pPr>
              <w:spacing w:line="600" w:lineRule="exact"/>
              <w:jc w:val="center"/>
              <w:rPr>
                <w:rFonts w:ascii="仿宋" w:hAnsi="仿宋" w:eastAsia="仿宋" w:cs="仿宋"/>
                <w:sz w:val="28"/>
                <w:szCs w:val="28"/>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5FAA"/>
    <w:multiLevelType w:val="multilevel"/>
    <w:tmpl w:val="65BC5FAA"/>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