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_GBK" w:eastAsia="方正小标宋_GBK"/>
          <w:sz w:val="44"/>
          <w:szCs w:val="44"/>
        </w:rPr>
      </w:pPr>
      <w:r>
        <w:rPr>
          <w:rFonts w:hint="eastAsia" w:ascii="方正小标宋_GBK" w:eastAsia="方正小标宋_GBK"/>
          <w:sz w:val="44"/>
          <w:szCs w:val="44"/>
        </w:rPr>
        <w:t>青钢片区幼儿园建设工程基坑监测项目</w:t>
      </w:r>
    </w:p>
    <w:p>
      <w:pPr>
        <w:adjustRightInd w:val="0"/>
        <w:snapToGrid w:val="0"/>
        <w:spacing w:line="560" w:lineRule="exact"/>
        <w:jc w:val="center"/>
        <w:rPr>
          <w:rFonts w:ascii="方正小标宋_GBK" w:eastAsia="方正小标宋_GBK"/>
          <w:sz w:val="44"/>
          <w:szCs w:val="44"/>
        </w:rPr>
      </w:pPr>
      <w:r>
        <w:rPr>
          <w:rFonts w:hint="eastAsia" w:ascii="方正小标宋_GBK" w:eastAsia="方正小标宋_GBK"/>
          <w:sz w:val="44"/>
          <w:szCs w:val="44"/>
        </w:rPr>
        <w:t>询价采购公告</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1.采购单位：青岛城投新城开发建设有限公司</w:t>
      </w:r>
    </w:p>
    <w:p>
      <w:pPr>
        <w:spacing w:line="360" w:lineRule="auto"/>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2.服务名称：</w:t>
      </w:r>
      <w:r>
        <w:rPr>
          <w:rFonts w:hint="eastAsia" w:ascii="仿宋_GB2312" w:hAnsi="仿宋_GB2312" w:eastAsia="仿宋_GB2312" w:cs="仿宋_GB2312"/>
          <w:kern w:val="0"/>
          <w:sz w:val="32"/>
          <w:szCs w:val="32"/>
        </w:rPr>
        <w:t>青钢片区幼儿园建设工程基坑监测项目</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3.项目概况：</w:t>
      </w:r>
      <w:r>
        <w:rPr>
          <w:rFonts w:hint="eastAsia" w:ascii="仿宋_GB2312" w:hAnsi="宋体" w:eastAsia="仿宋_GB2312" w:cs="宋体"/>
          <w:kern w:val="0"/>
          <w:sz w:val="32"/>
          <w:szCs w:val="32"/>
        </w:rPr>
        <w:t>项目总占地面积16.3亩，新建幼儿园一座，共十五班；项目占地面积约10865.1平方米，总建筑面积约7427.17平方米，配置幼儿园综合体、多功能活动室、幼儿教师餐厅、跑道、活动场地等设施。</w:t>
      </w:r>
      <w:r>
        <w:rPr>
          <w:rFonts w:hint="eastAsia" w:ascii="仿宋_GB2312" w:hAnsi="仿宋_GB2312" w:eastAsia="仿宋_GB2312" w:cs="仿宋_GB2312"/>
          <w:kern w:val="0"/>
          <w:sz w:val="32"/>
          <w:szCs w:val="32"/>
        </w:rPr>
        <w:t>本项目基坑边线周长约224m，边坡安全等级为二级。</w:t>
      </w:r>
    </w:p>
    <w:p>
      <w:pPr>
        <w:spacing w:line="360" w:lineRule="auto"/>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4.服务内容：</w:t>
      </w:r>
      <w:r>
        <w:rPr>
          <w:rFonts w:hint="eastAsia" w:ascii="仿宋_GB2312" w:hAnsi="仿宋_GB2312" w:eastAsia="仿宋_GB2312" w:cs="仿宋_GB2312"/>
          <w:kern w:val="0"/>
          <w:sz w:val="32"/>
          <w:szCs w:val="32"/>
        </w:rPr>
        <w:t>对青钢片区幼儿园建设工程基坑进行监测，根据基坑支护设计文件编制监测方案，进行基坑支护全过程监测，根据监测情况及时提交监测数据，对异常情况及时汇报并提出合理处理意见，监测完成后提交监测报告。</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5.服务地点：李沧区楼山二支路以西，创业路以北。</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6.采购预算：71450元。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7.中标选取方式：合理低价中标,如出现最低报价相同，选择有效最低报价单位中提供的业绩中单一合同的合同额最高者作为中标单位。</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二、申请人的资格要求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1.在中华人民共和国境内注册，具有独立法人资格；</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2.须具有工程勘察综合类甲级资质或同时具备工程勘察专业类（岩土工程）甲级和工程勘察专业类（工程测量）甲级资质；  </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3.近三年（2020年1月1日至今）承接过单项合同10万元及以上的基坑监测项目同类业绩。</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三、服务要求</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1.监测项目</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1.1基坑监测根据相关规范布设监测点，具体监测项目应包括但不限于以下内容：</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（1）坡顶水平位移监测11点；（2）坡顶竖向位移监测11点；（3）平面控制网3点；（4）高程控制网1km。</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基坑监测工程项目应符合《建筑基坑工程监测技术标准》（GB50497-2019）中的要求。</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1.2基坑工程现场巡视检查应包括但不限于以下内容：</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（1）支护结构；（2）基坑周边环境；（3）地下管道有无破损、泄露情况；（4）监测设施；（5）根据设计要求或当地经验确定的其他巡视检查内容。</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2.技术</w:t>
      </w:r>
      <w:r>
        <w:rPr>
          <w:rFonts w:hint="eastAsia" w:ascii="仿宋_GB2312" w:hAnsi="仿宋_GB2312" w:eastAsia="仿宋_GB2312" w:cs="仿宋_GB2312"/>
          <w:kern w:val="0"/>
          <w:sz w:val="32"/>
          <w:szCs w:val="32"/>
          <w:lang w:val="zh-CN"/>
        </w:rPr>
        <w:t>要求：</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基坑监测工程执行以下技术标准（包括但不限于以下内容） </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（1）《建筑边坡工程技术规范》（GB50330-2013） </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（2）《建筑基坑工程监测技术标准》（GB50497-2019） </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（3）《建筑地基处理技术规范》（JGJ79-2012） </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（4）《建筑工程基坑支护技术规程》（JGJ120-2015） </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（5）《建筑变形测量规范》（JGJ/T8-2016） </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（6）《工程测量标准》（GB50026-2020 ）</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（7）《国家测绘资质分级标准》（国测管字（2009）13 号） </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（8）有关设计施工图纸</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 xml:space="preserve">（9）现行的国家及省市相关法律法规和标准规范，若有最新版本的规范和标准，则以最新的规范和标准为准 </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3.人员要求：</w:t>
      </w:r>
      <w:r>
        <w:rPr>
          <w:rFonts w:hint="eastAsia" w:ascii="仿宋_GB2312" w:hAnsi="仿宋_GB2312" w:eastAsia="仿宋_GB2312" w:cs="仿宋_GB2312"/>
          <w:kern w:val="0"/>
          <w:sz w:val="32"/>
          <w:szCs w:val="32"/>
          <w:lang w:val="zh-CN"/>
        </w:rPr>
        <w:t>项目负责人</w:t>
      </w:r>
      <w:r>
        <w:rPr>
          <w:rFonts w:hint="eastAsia" w:ascii="仿宋_GB2312" w:hAnsi="仿宋_GB2312" w:eastAsia="仿宋_GB2312" w:cs="仿宋_GB2312"/>
          <w:kern w:val="0"/>
          <w:sz w:val="32"/>
          <w:szCs w:val="32"/>
        </w:rPr>
        <w:t>1名</w:t>
      </w:r>
      <w:r>
        <w:rPr>
          <w:rFonts w:hint="eastAsia" w:ascii="仿宋_GB2312" w:hAnsi="仿宋_GB2312" w:eastAsia="仿宋_GB2312" w:cs="仿宋_GB2312"/>
          <w:kern w:val="0"/>
          <w:sz w:val="32"/>
          <w:szCs w:val="32"/>
          <w:lang w:val="zh-CN"/>
        </w:rPr>
        <w:t>，需要同时具有</w:t>
      </w:r>
      <w:r>
        <w:rPr>
          <w:rFonts w:hint="eastAsia" w:ascii="仿宋_GB2312" w:hAnsi="仿宋_GB2312" w:eastAsia="仿宋_GB2312" w:cs="仿宋_GB2312"/>
          <w:kern w:val="0"/>
          <w:sz w:val="32"/>
          <w:szCs w:val="32"/>
        </w:rPr>
        <w:t>工程相关专业</w:t>
      </w:r>
      <w:r>
        <w:rPr>
          <w:rFonts w:hint="eastAsia" w:ascii="仿宋_GB2312" w:hAnsi="仿宋_GB2312" w:eastAsia="仿宋_GB2312" w:cs="仿宋_GB2312"/>
          <w:kern w:val="0"/>
          <w:sz w:val="32"/>
          <w:szCs w:val="32"/>
          <w:lang w:val="zh-CN"/>
        </w:rPr>
        <w:t>高级职称和注册土木工程师（岩土）资格；项目技术负责人1名，需要具有</w:t>
      </w:r>
      <w:r>
        <w:rPr>
          <w:rFonts w:hint="eastAsia" w:ascii="仿宋_GB2312" w:hAnsi="仿宋_GB2312" w:eastAsia="仿宋_GB2312" w:cs="仿宋_GB2312"/>
          <w:kern w:val="0"/>
          <w:sz w:val="32"/>
          <w:szCs w:val="32"/>
        </w:rPr>
        <w:t>工程相关专业</w:t>
      </w:r>
      <w:r>
        <w:rPr>
          <w:rFonts w:hint="eastAsia" w:ascii="仿宋_GB2312" w:hAnsi="仿宋_GB2312" w:eastAsia="仿宋_GB2312" w:cs="仿宋_GB2312"/>
          <w:kern w:val="0"/>
          <w:sz w:val="32"/>
          <w:szCs w:val="32"/>
          <w:lang w:val="zh-CN"/>
        </w:rPr>
        <w:t>高级职称；其他人员</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名，需要具有</w:t>
      </w:r>
      <w:r>
        <w:rPr>
          <w:rFonts w:hint="eastAsia" w:ascii="仿宋_GB2312" w:hAnsi="仿宋_GB2312" w:eastAsia="仿宋_GB2312" w:cs="仿宋_GB2312"/>
          <w:kern w:val="0"/>
          <w:sz w:val="32"/>
          <w:szCs w:val="32"/>
        </w:rPr>
        <w:t>工程相关专业</w:t>
      </w:r>
      <w:r>
        <w:rPr>
          <w:rFonts w:hint="eastAsia" w:ascii="仿宋_GB2312" w:hAnsi="仿宋_GB2312" w:eastAsia="仿宋_GB2312" w:cs="仿宋_GB2312"/>
          <w:kern w:val="0"/>
          <w:sz w:val="32"/>
          <w:szCs w:val="32"/>
          <w:lang w:val="zh-CN"/>
        </w:rPr>
        <w:t>中级职称。</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4.服务期限：</w:t>
      </w:r>
      <w:r>
        <w:rPr>
          <w:rFonts w:hint="eastAsia" w:ascii="仿宋_GB2312" w:hAnsi="仿宋_GB2312" w:eastAsia="仿宋_GB2312" w:cs="仿宋_GB2312"/>
          <w:kern w:val="0"/>
          <w:sz w:val="32"/>
          <w:szCs w:val="32"/>
          <w:lang w:val="zh-CN"/>
        </w:rPr>
        <w:t>从合同签订之日起至基坑全部回填完毕，监测周期暂按</w:t>
      </w:r>
      <w:r>
        <w:rPr>
          <w:rFonts w:hint="eastAsia" w:ascii="仿宋_GB2312" w:hAnsi="仿宋_GB2312" w:eastAsia="仿宋_GB2312" w:cs="仿宋_GB2312"/>
          <w:kern w:val="0"/>
          <w:sz w:val="32"/>
          <w:szCs w:val="32"/>
        </w:rPr>
        <w:t>6个月</w:t>
      </w:r>
      <w:r>
        <w:rPr>
          <w:rFonts w:hint="eastAsia" w:ascii="仿宋_GB2312" w:hAnsi="仿宋_GB2312" w:eastAsia="仿宋_GB2312" w:cs="仿宋_GB2312"/>
          <w:kern w:val="0"/>
          <w:sz w:val="32"/>
          <w:szCs w:val="32"/>
          <w:lang w:val="zh-CN"/>
        </w:rPr>
        <w:t>考虑。</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5.服务成果验收</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5.1监测过程中，成交供应商需根据监测情况及时进行数据提交，对异常情况及时汇报并提出合理化处理意见，</w:t>
      </w:r>
      <w:r>
        <w:rPr>
          <w:rFonts w:hint="eastAsia" w:ascii="仿宋_GB2312" w:hAnsi="仿宋_GB2312" w:eastAsia="仿宋_GB2312" w:cs="仿宋_GB2312"/>
          <w:kern w:val="0"/>
          <w:sz w:val="32"/>
          <w:szCs w:val="32"/>
          <w:lang w:val="zh-CN"/>
        </w:rPr>
        <w:t>完成</w:t>
      </w:r>
      <w:r>
        <w:rPr>
          <w:rFonts w:hint="eastAsia" w:ascii="仿宋_GB2312" w:hAnsi="仿宋_GB2312" w:eastAsia="仿宋_GB2312" w:cs="仿宋_GB2312"/>
          <w:kern w:val="0"/>
          <w:sz w:val="32"/>
          <w:szCs w:val="32"/>
        </w:rPr>
        <w:t>监测任务</w:t>
      </w:r>
      <w:r>
        <w:rPr>
          <w:rFonts w:hint="eastAsia" w:ascii="仿宋_GB2312" w:hAnsi="仿宋_GB2312" w:eastAsia="仿宋_GB2312" w:cs="仿宋_GB2312"/>
          <w:kern w:val="0"/>
          <w:sz w:val="32"/>
          <w:szCs w:val="32"/>
          <w:lang w:val="zh-CN"/>
        </w:rPr>
        <w:t>后，成交供应商提供项目完成</w:t>
      </w:r>
      <w:r>
        <w:rPr>
          <w:rFonts w:hint="eastAsia" w:ascii="仿宋_GB2312" w:hAnsi="仿宋_GB2312" w:eastAsia="仿宋_GB2312" w:cs="仿宋_GB2312"/>
          <w:kern w:val="0"/>
          <w:sz w:val="32"/>
          <w:szCs w:val="32"/>
        </w:rPr>
        <w:t>监测</w:t>
      </w:r>
      <w:r>
        <w:rPr>
          <w:rFonts w:hint="eastAsia" w:ascii="仿宋_GB2312" w:hAnsi="仿宋_GB2312" w:eastAsia="仿宋_GB2312" w:cs="仿宋_GB2312"/>
          <w:kern w:val="0"/>
          <w:sz w:val="32"/>
          <w:szCs w:val="32"/>
          <w:lang w:val="zh-CN"/>
        </w:rPr>
        <w:t>报告，采购人应对</w:t>
      </w:r>
      <w:r>
        <w:rPr>
          <w:rFonts w:hint="eastAsia" w:ascii="仿宋_GB2312" w:hAnsi="仿宋_GB2312" w:eastAsia="仿宋_GB2312" w:cs="仿宋_GB2312"/>
          <w:kern w:val="0"/>
          <w:sz w:val="32"/>
          <w:szCs w:val="32"/>
        </w:rPr>
        <w:t>监测</w:t>
      </w:r>
      <w:r>
        <w:rPr>
          <w:rFonts w:hint="eastAsia" w:ascii="仿宋_GB2312" w:hAnsi="仿宋_GB2312" w:eastAsia="仿宋_GB2312" w:cs="仿宋_GB2312"/>
          <w:kern w:val="0"/>
          <w:sz w:val="32"/>
          <w:szCs w:val="32"/>
          <w:lang w:val="zh-CN"/>
        </w:rPr>
        <w:t>的成果进行详细而全面的检验。采购人有权限根据</w:t>
      </w:r>
      <w:r>
        <w:rPr>
          <w:rFonts w:hint="eastAsia" w:ascii="仿宋_GB2312" w:hAnsi="仿宋_GB2312" w:eastAsia="仿宋_GB2312" w:cs="仿宋_GB2312"/>
          <w:kern w:val="0"/>
          <w:sz w:val="32"/>
          <w:szCs w:val="32"/>
        </w:rPr>
        <w:t>监测</w:t>
      </w:r>
      <w:r>
        <w:rPr>
          <w:rFonts w:hint="eastAsia" w:ascii="仿宋_GB2312" w:hAnsi="仿宋_GB2312" w:eastAsia="仿宋_GB2312" w:cs="仿宋_GB2312"/>
          <w:kern w:val="0"/>
          <w:sz w:val="32"/>
          <w:szCs w:val="32"/>
          <w:lang w:val="zh-CN"/>
        </w:rPr>
        <w:t>结果要求成交供应商立即更换、完善、调整或者提出索赔要求，</w:t>
      </w:r>
      <w:r>
        <w:rPr>
          <w:rFonts w:hint="eastAsia" w:ascii="仿宋_GB2312" w:hAnsi="仿宋_GB2312" w:eastAsia="仿宋_GB2312" w:cs="仿宋_GB2312"/>
          <w:kern w:val="0"/>
          <w:sz w:val="32"/>
          <w:szCs w:val="32"/>
        </w:rPr>
        <w:t>且该监测报告须满足相关规范要求</w:t>
      </w:r>
      <w:r>
        <w:rPr>
          <w:rFonts w:hint="eastAsia" w:ascii="仿宋_GB2312" w:hAnsi="仿宋_GB2312" w:eastAsia="仿宋_GB2312" w:cs="仿宋_GB2312"/>
          <w:kern w:val="0"/>
          <w:sz w:val="32"/>
          <w:szCs w:val="32"/>
          <w:lang w:val="zh-CN"/>
        </w:rPr>
        <w:t>。</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5.2工程结束后，应提供给以下资料：</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（1）基坑监测技术设计方案</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（2）监测点布设图</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（3）基坑监测成果表</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（4）基坑监测技术总结</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6.结算方式：监测收费按固定单价方式计取，工程量按实结算，若最终工程量超过询价工程量，则按询价工程量结算。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1.报价应为含税全包价费用，包括完成提供上述服务的所有费用。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2.投标报价不得高于采购预算，否则投标报价无效。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rPr>
        <w:t xml:space="preserve"> </w:t>
      </w:r>
      <w:r>
        <w:rPr>
          <w:rFonts w:hint="eastAsia" w:ascii="仿宋_GB2312" w:eastAsia="仿宋_GB2312"/>
          <w:sz w:val="32"/>
          <w:szCs w:val="32"/>
        </w:rPr>
        <w:t>报价文件资料包括：营业执照（复印件）、资质证书（复印件）、法人身份证明或授权委托书（附件1）、同类合同业绩（复印件）、报价承诺函（附件2）、报价表（附件3）、服务人员配备表（附件4）及人员身份证（复印件）、专业技术资格证书（复印件）、社保证明材料等。报价文件包括但不限于以上资料，报价文件一式三份需加盖公章并装订成册。报价文件不满足询价采购公告要求的视为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4.上述第3条中要求的材料须放入一个密封件中提交，密封件包装袋封口处加盖单位公章。</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五、报价截止时间、形式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1.报价截止时间：2023年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16</w:t>
      </w:r>
      <w:r>
        <w:rPr>
          <w:rFonts w:hint="eastAsia" w:ascii="仿宋_GB2312" w:eastAsia="仿宋_GB2312"/>
          <w:sz w:val="32"/>
          <w:szCs w:val="32"/>
        </w:rPr>
        <w:t>日</w:t>
      </w:r>
      <w:r>
        <w:rPr>
          <w:rFonts w:hint="eastAsia" w:ascii="仿宋_GB2312" w:eastAsia="仿宋_GB2312"/>
          <w:sz w:val="32"/>
          <w:szCs w:val="32"/>
          <w:lang w:val="en-US" w:eastAsia="zh-CN"/>
        </w:rPr>
        <w:t>10</w:t>
      </w:r>
      <w:r>
        <w:rPr>
          <w:rFonts w:hint="eastAsia" w:ascii="仿宋_GB2312" w:eastAsia="仿宋_GB2312"/>
          <w:sz w:val="32"/>
          <w:szCs w:val="32"/>
        </w:rPr>
        <w:t>点整。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2.报价形式：报价文件可采取邮寄或现场递交的形式。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3.送达地点：青岛市崂山区香港东路195号上实中心T2办公楼6楼，逾期提交或者未送达指定地点的报价文件不予接受。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六、公告期限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本项目招标公告发出之日起至报价截止时间止。</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七、联系方式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联系人：王经理     电话：0532-67781795</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附件：1.法人身份证明或授权委托书</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2.报价承诺函</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3.报价单</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4.服务人员配备表</w:t>
      </w:r>
    </w:p>
    <w:p>
      <w:pPr>
        <w:adjustRightInd w:val="0"/>
        <w:snapToGrid w:val="0"/>
        <w:spacing w:line="560" w:lineRule="exact"/>
        <w:rPr>
          <w:rFonts w:ascii="仿宋_GB2312" w:eastAsia="仿宋_GB2312"/>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青岛城投新城开发建设有限公司   </w:t>
      </w:r>
    </w:p>
    <w:p>
      <w:pPr>
        <w:wordWrap w:val="0"/>
        <w:adjustRightInd w:val="0"/>
        <w:snapToGrid w:val="0"/>
        <w:spacing w:line="560" w:lineRule="exact"/>
        <w:ind w:firstLine="640" w:firstLineChars="2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2023年</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10</w:t>
      </w:r>
      <w:bookmarkStart w:id="0" w:name="_GoBack"/>
      <w:bookmarkEnd w:id="0"/>
      <w:r>
        <w:rPr>
          <w:rFonts w:hint="eastAsia" w:ascii="仿宋_GB2312" w:hAnsi="仿宋_GB2312" w:eastAsia="仿宋_GB2312" w:cs="仿宋_GB2312"/>
          <w:kern w:val="0"/>
          <w:sz w:val="32"/>
          <w:szCs w:val="32"/>
        </w:rPr>
        <w:t xml:space="preserve">日    </w:t>
      </w: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hint="eastAsia"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spacing w:line="560" w:lineRule="exact"/>
        <w:jc w:val="left"/>
        <w:rPr>
          <w:rFonts w:ascii="仿宋" w:hAnsi="仿宋" w:eastAsia="仿宋" w:cs="仿宋"/>
          <w:sz w:val="30"/>
          <w:szCs w:val="30"/>
        </w:rPr>
      </w:pPr>
      <w:r>
        <w:rPr>
          <w:rFonts w:hint="eastAsia" w:ascii="仿宋" w:hAnsi="仿宋" w:eastAsia="仿宋" w:cs="仿宋"/>
          <w:sz w:val="30"/>
          <w:szCs w:val="30"/>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0"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4"/>
      </w:pPr>
    </w:p>
    <w:p>
      <w:pPr>
        <w:pStyle w:val="4"/>
      </w:pPr>
    </w:p>
    <w:p>
      <w:pPr>
        <w:pStyle w:val="4"/>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****年**月**日</w:t>
      </w:r>
    </w:p>
    <w:p>
      <w:pPr>
        <w:spacing w:line="560" w:lineRule="exact"/>
        <w:ind w:firstLine="600"/>
        <w:jc w:val="center"/>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3"/>
      </w:pP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项目询价采购会的委托代理人，由委托代理人全权代表。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spacing w:line="560" w:lineRule="exact"/>
        <w:ind w:right="150" w:firstLine="600"/>
        <w:jc w:val="right"/>
        <w:rPr>
          <w:rFonts w:ascii="仿宋" w:hAnsi="仿宋" w:eastAsia="仿宋" w:cs="仿宋"/>
          <w:sz w:val="30"/>
          <w:szCs w:val="30"/>
        </w:rPr>
      </w:pPr>
    </w:p>
    <w:p>
      <w:pPr>
        <w:spacing w:line="560" w:lineRule="exact"/>
        <w:ind w:right="150" w:firstLine="600"/>
        <w:jc w:val="right"/>
        <w:rPr>
          <w:rFonts w:ascii="仿宋" w:hAnsi="仿宋" w:eastAsia="仿宋" w:cs="仿宋"/>
          <w:sz w:val="30"/>
          <w:szCs w:val="30"/>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仿宋" w:eastAsia="仿宋_GB2312"/>
          <w:color w:val="000000"/>
          <w:sz w:val="28"/>
          <w:szCs w:val="28"/>
          <w:u w:val="single"/>
        </w:rPr>
        <w:t>青岛城投新城开发建设有限公司</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rPr>
        <w:t>青钢片区幼儿园建设工程基坑监测项目</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4"/>
        <w:ind w:left="0" w:leftChars="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r>
        <w:rPr>
          <w:rFonts w:hint="eastAsia" w:ascii="仿宋_GB2312" w:hAnsi="仿宋_GB2312" w:eastAsia="仿宋_GB2312" w:cs="仿宋_GB2312"/>
          <w:bCs/>
          <w:color w:val="000000"/>
          <w:kern w:val="1"/>
          <w:sz w:val="32"/>
          <w:szCs w:val="32"/>
        </w:rPr>
        <w:t xml:space="preserve"> </w:t>
      </w: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snapToGrid w:val="0"/>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附件3.报价单</w:t>
      </w:r>
    </w:p>
    <w:p>
      <w:pPr>
        <w:snapToGrid w:val="0"/>
        <w:spacing w:line="560" w:lineRule="exact"/>
        <w:jc w:val="center"/>
        <w:rPr>
          <w:sz w:val="20"/>
          <w:szCs w:val="21"/>
        </w:rPr>
      </w:pPr>
      <w:r>
        <w:rPr>
          <w:rFonts w:hint="eastAsia" w:asciiTheme="majorEastAsia" w:hAnsiTheme="majorEastAsia" w:eastAsiaTheme="majorEastAsia" w:cstheme="majorEastAsia"/>
          <w:b/>
          <w:bCs/>
          <w:sz w:val="40"/>
          <w:szCs w:val="40"/>
        </w:rPr>
        <w:t>报价单</w:t>
      </w:r>
    </w:p>
    <w:p>
      <w:pPr>
        <w:spacing w:line="400" w:lineRule="exact"/>
        <w:rPr>
          <w:rFonts w:ascii="仿宋" w:hAnsi="仿宋" w:eastAsia="仿宋" w:cs="宋体"/>
          <w:color w:val="FF0000"/>
          <w:sz w:val="22"/>
          <w:szCs w:val="21"/>
          <w:lang w:val="zh-CN"/>
        </w:rPr>
      </w:pPr>
    </w:p>
    <w:tbl>
      <w:tblPr>
        <w:tblStyle w:val="8"/>
        <w:tblW w:w="8900" w:type="dxa"/>
        <w:tblInd w:w="-1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5"/>
        <w:gridCol w:w="2439"/>
        <w:gridCol w:w="930"/>
        <w:gridCol w:w="1125"/>
        <w:gridCol w:w="1170"/>
        <w:gridCol w:w="1446"/>
        <w:gridCol w:w="11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665" w:type="dxa"/>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rPr>
              <w:t>序号</w:t>
            </w:r>
          </w:p>
        </w:tc>
        <w:tc>
          <w:tcPr>
            <w:tcW w:w="2439" w:type="dxa"/>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rPr>
              <w:t>工作内容</w:t>
            </w:r>
          </w:p>
        </w:tc>
        <w:tc>
          <w:tcPr>
            <w:tcW w:w="930" w:type="dxa"/>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lang w:val="zh-CN"/>
              </w:rPr>
              <w:t>单位</w:t>
            </w:r>
          </w:p>
        </w:tc>
        <w:tc>
          <w:tcPr>
            <w:tcW w:w="1125" w:type="dxa"/>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rPr>
              <w:t>工程量</w:t>
            </w:r>
          </w:p>
        </w:tc>
        <w:tc>
          <w:tcPr>
            <w:tcW w:w="1170" w:type="dxa"/>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rPr>
              <w:t>含税单价</w:t>
            </w:r>
          </w:p>
        </w:tc>
        <w:tc>
          <w:tcPr>
            <w:tcW w:w="1446" w:type="dxa"/>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rPr>
              <w:t>合计（元）</w:t>
            </w:r>
          </w:p>
        </w:tc>
        <w:tc>
          <w:tcPr>
            <w:tcW w:w="1125" w:type="dxa"/>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9" w:hRule="atLeast"/>
        </w:trPr>
        <w:tc>
          <w:tcPr>
            <w:tcW w:w="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1</w:t>
            </w:r>
          </w:p>
        </w:tc>
        <w:tc>
          <w:tcPr>
            <w:tcW w:w="2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坡顶水平位移监测</w:t>
            </w:r>
          </w:p>
        </w:tc>
        <w:tc>
          <w:tcPr>
            <w:tcW w:w="9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点*次</w:t>
            </w:r>
          </w:p>
        </w:tc>
        <w:tc>
          <w:tcPr>
            <w:tcW w:w="1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11*70</w:t>
            </w:r>
          </w:p>
        </w:tc>
        <w:tc>
          <w:tcPr>
            <w:tcW w:w="11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12" w:lineRule="atLeast"/>
              <w:jc w:val="left"/>
              <w:rPr>
                <w:rFonts w:cs="仿宋" w:asciiTheme="minorEastAsia" w:hAnsiTheme="minorEastAsi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12" w:lineRule="atLeast"/>
              <w:jc w:val="left"/>
              <w:rPr>
                <w:rFonts w:cs="仿宋"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5" w:hRule="atLeast"/>
        </w:trPr>
        <w:tc>
          <w:tcPr>
            <w:tcW w:w="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2</w:t>
            </w:r>
          </w:p>
        </w:tc>
        <w:tc>
          <w:tcPr>
            <w:tcW w:w="2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坡顶竖向位移监测</w:t>
            </w:r>
          </w:p>
        </w:tc>
        <w:tc>
          <w:tcPr>
            <w:tcW w:w="9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点*次</w:t>
            </w:r>
          </w:p>
        </w:tc>
        <w:tc>
          <w:tcPr>
            <w:tcW w:w="1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rPr>
              <w:t>11*70</w:t>
            </w:r>
          </w:p>
        </w:tc>
        <w:tc>
          <w:tcPr>
            <w:tcW w:w="11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12" w:lineRule="atLeast"/>
              <w:jc w:val="left"/>
              <w:rPr>
                <w:rFonts w:cs="宋体" w:asciiTheme="minorEastAsia" w:hAnsiTheme="minorEastAsia"/>
                <w:kern w:val="0"/>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12" w:lineRule="atLeast"/>
              <w:jc w:val="left"/>
              <w:rPr>
                <w:rFonts w:cs="仿宋"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rPr>
              <w:t>3</w:t>
            </w:r>
          </w:p>
        </w:tc>
        <w:tc>
          <w:tcPr>
            <w:tcW w:w="243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平面控制网</w:t>
            </w:r>
          </w:p>
        </w:tc>
        <w:tc>
          <w:tcPr>
            <w:tcW w:w="9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点</w:t>
            </w:r>
          </w:p>
        </w:tc>
        <w:tc>
          <w:tcPr>
            <w:tcW w:w="1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c>
          <w:tcPr>
            <w:tcW w:w="11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12" w:lineRule="atLeast"/>
              <w:jc w:val="left"/>
              <w:rPr>
                <w:rFonts w:cs="仿宋" w:asciiTheme="minorEastAsia" w:hAnsiTheme="minorEastAsi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12" w:lineRule="atLeast"/>
              <w:jc w:val="left"/>
              <w:rPr>
                <w:rFonts w:cs="仿宋"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5" w:hRule="atLeast"/>
        </w:trPr>
        <w:tc>
          <w:tcPr>
            <w:tcW w:w="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rPr>
              <w:t>4</w:t>
            </w:r>
          </w:p>
        </w:tc>
        <w:tc>
          <w:tcPr>
            <w:tcW w:w="243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高程控制网</w:t>
            </w:r>
          </w:p>
        </w:tc>
        <w:tc>
          <w:tcPr>
            <w:tcW w:w="9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kern w:val="0"/>
                <w:sz w:val="24"/>
                <w:szCs w:val="24"/>
                <w:lang w:val="zh-CN"/>
              </w:rPr>
            </w:pPr>
            <w:r>
              <w:rPr>
                <w:rFonts w:cs="宋体" w:asciiTheme="minorEastAsia" w:hAnsiTheme="minorEastAsia"/>
                <w:kern w:val="0"/>
                <w:sz w:val="24"/>
                <w:szCs w:val="24"/>
                <w:lang w:val="zh-CN"/>
              </w:rPr>
              <w:t>K</w:t>
            </w:r>
            <w:r>
              <w:rPr>
                <w:rFonts w:hint="eastAsia" w:cs="宋体" w:asciiTheme="minorEastAsia" w:hAnsiTheme="minorEastAsia"/>
                <w:kern w:val="0"/>
                <w:sz w:val="24"/>
                <w:szCs w:val="24"/>
                <w:lang w:val="zh-CN"/>
              </w:rPr>
              <w:t>m*次</w:t>
            </w:r>
          </w:p>
        </w:tc>
        <w:tc>
          <w:tcPr>
            <w:tcW w:w="1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1*3</w:t>
            </w:r>
          </w:p>
        </w:tc>
        <w:tc>
          <w:tcPr>
            <w:tcW w:w="11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12" w:lineRule="atLeast"/>
              <w:jc w:val="left"/>
              <w:rPr>
                <w:rFonts w:cs="仿宋" w:asciiTheme="minorEastAsia" w:hAnsiTheme="minorEastAsi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12" w:lineRule="atLeast"/>
              <w:jc w:val="left"/>
              <w:rPr>
                <w:rFonts w:cs="仿宋"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3104" w:type="dxa"/>
            <w:gridSpan w:val="2"/>
            <w:tcBorders>
              <w:top w:val="single" w:color="auto" w:sz="4" w:space="0"/>
              <w:left w:val="single" w:color="auto" w:sz="4" w:space="0"/>
              <w:bottom w:val="single" w:color="auto" w:sz="4" w:space="0"/>
              <w:right w:val="single" w:color="auto" w:sz="4" w:space="0"/>
            </w:tcBorders>
            <w:vAlign w:val="center"/>
          </w:tcPr>
          <w:p>
            <w:pPr>
              <w:spacing w:line="12" w:lineRule="atLeast"/>
              <w:jc w:val="center"/>
              <w:rPr>
                <w:rFonts w:cs="仿宋" w:asciiTheme="minorEastAsia" w:hAnsiTheme="minorEastAsia"/>
                <w:szCs w:val="21"/>
              </w:rPr>
            </w:pPr>
            <w:r>
              <w:rPr>
                <w:rFonts w:hint="eastAsia" w:cs="宋体" w:asciiTheme="minorEastAsia" w:hAnsiTheme="minorEastAsia"/>
                <w:kern w:val="0"/>
                <w:sz w:val="24"/>
                <w:szCs w:val="24"/>
                <w:lang w:val="zh-CN"/>
              </w:rPr>
              <w:t>合</w:t>
            </w: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lang w:val="zh-CN"/>
              </w:rPr>
              <w:t>计</w:t>
            </w:r>
          </w:p>
        </w:tc>
        <w:tc>
          <w:tcPr>
            <w:tcW w:w="930" w:type="dxa"/>
            <w:tcBorders>
              <w:top w:val="single" w:color="auto" w:sz="4" w:space="0"/>
              <w:left w:val="single" w:color="auto" w:sz="4" w:space="0"/>
              <w:bottom w:val="single" w:color="auto" w:sz="4" w:space="0"/>
              <w:right w:val="single" w:color="auto" w:sz="4" w:space="0"/>
            </w:tcBorders>
            <w:vAlign w:val="center"/>
          </w:tcPr>
          <w:p>
            <w:pPr>
              <w:spacing w:line="12" w:lineRule="atLeast"/>
              <w:jc w:val="center"/>
              <w:rPr>
                <w:rFonts w:cs="仿宋" w:asciiTheme="minorEastAsia" w:hAnsiTheme="minorEastAsi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12" w:lineRule="atLeast"/>
              <w:jc w:val="center"/>
              <w:rPr>
                <w:rFonts w:cs="仿宋" w:asciiTheme="minorEastAsia" w:hAnsiTheme="minorEastAsia"/>
                <w:szCs w:val="21"/>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12" w:lineRule="atLeast"/>
              <w:jc w:val="center"/>
              <w:rPr>
                <w:rFonts w:cs="仿宋" w:asciiTheme="minorEastAsia" w:hAnsiTheme="minorEastAsia"/>
                <w:szCs w:val="21"/>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12" w:lineRule="atLeast"/>
              <w:jc w:val="center"/>
              <w:rPr>
                <w:rFonts w:cs="仿宋" w:asciiTheme="minorEastAsia" w:hAnsiTheme="minorEastAsi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12" w:lineRule="atLeast"/>
              <w:jc w:val="center"/>
              <w:rPr>
                <w:rFonts w:cs="仿宋" w:asciiTheme="minorEastAsia" w:hAnsiTheme="minorEastAsia"/>
                <w:szCs w:val="21"/>
              </w:rPr>
            </w:pPr>
          </w:p>
        </w:tc>
      </w:tr>
    </w:tbl>
    <w:p>
      <w:pPr>
        <w:widowControl/>
        <w:jc w:val="left"/>
        <w:rPr>
          <w:rFonts w:ascii="仿宋" w:hAnsi="仿宋" w:eastAsia="仿宋"/>
          <w:sz w:val="32"/>
          <w:szCs w:val="32"/>
        </w:rPr>
      </w:pPr>
      <w:r>
        <w:rPr>
          <w:rFonts w:hint="eastAsia" w:ascii="仿宋_GB2312" w:hAnsi="仿宋" w:eastAsia="仿宋_GB2312"/>
          <w:color w:val="000000"/>
          <w:sz w:val="28"/>
          <w:szCs w:val="28"/>
        </w:rPr>
        <w:t>备注：报价为含税全包价，包括提供服务的所有费用。</w:t>
      </w:r>
    </w:p>
    <w:p>
      <w:pPr>
        <w:rPr>
          <w:rFonts w:ascii="仿宋_GB2312" w:hAnsi="仿宋" w:eastAsia="仿宋_GB2312"/>
          <w:color w:val="000000"/>
          <w:sz w:val="28"/>
          <w:szCs w:val="28"/>
        </w:rPr>
      </w:pP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报价单位（盖章）：</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联系人：</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联系电话：</w:t>
      </w:r>
    </w:p>
    <w:p>
      <w:pPr>
        <w:widowControl/>
        <w:ind w:right="600" w:firstLine="3080" w:firstLineChars="1100"/>
        <w:rPr>
          <w:rFonts w:ascii="仿宋_GB2312" w:hAnsi="仿宋" w:eastAsia="仿宋_GB2312"/>
          <w:color w:val="000000"/>
          <w:sz w:val="28"/>
          <w:szCs w:val="28"/>
        </w:rPr>
        <w:sectPr>
          <w:footerReference r:id="rId3" w:type="default"/>
          <w:pgSz w:w="11906" w:h="16838"/>
          <w:pgMar w:top="2098" w:right="1474" w:bottom="1984" w:left="1587" w:header="851" w:footer="992" w:gutter="0"/>
          <w:pgNumType w:fmt="numberInDash"/>
          <w:cols w:space="425" w:num="1"/>
          <w:docGrid w:type="linesAndChars" w:linePitch="312" w:charSpace="0"/>
        </w:sectPr>
      </w:pPr>
      <w:r>
        <w:rPr>
          <w:rFonts w:hint="eastAsia" w:ascii="仿宋_GB2312" w:hAnsi="仿宋" w:eastAsia="仿宋_GB2312"/>
          <w:color w:val="000000"/>
          <w:sz w:val="28"/>
          <w:szCs w:val="28"/>
        </w:rPr>
        <w:t>日期：****年**月**日</w:t>
      </w:r>
    </w:p>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jc w:val="center"/>
        <w:rPr>
          <w:rFonts w:ascii="楷体" w:hAnsi="楷体" w:eastAsia="楷体" w:cs="楷体"/>
          <w:b/>
          <w:bCs/>
          <w:sz w:val="30"/>
          <w:szCs w:val="30"/>
        </w:rPr>
      </w:pPr>
      <w:r>
        <w:rPr>
          <w:rFonts w:hint="eastAsia" w:ascii="楷体" w:hAnsi="楷体" w:eastAsia="楷体" w:cs="楷体"/>
          <w:b/>
          <w:bCs/>
          <w:sz w:val="30"/>
          <w:szCs w:val="30"/>
        </w:rPr>
        <w:t>服务人员配备表</w:t>
      </w:r>
    </w:p>
    <w:tbl>
      <w:tblPr>
        <w:tblStyle w:val="8"/>
        <w:tblW w:w="85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3"/>
        <w:gridCol w:w="1242"/>
        <w:gridCol w:w="2691"/>
        <w:gridCol w:w="1910"/>
        <w:gridCol w:w="13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职务</w:t>
            </w:r>
          </w:p>
        </w:tc>
        <w:tc>
          <w:tcPr>
            <w:tcW w:w="26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专业技术资格</w:t>
            </w:r>
          </w:p>
        </w:tc>
        <w:tc>
          <w:tcPr>
            <w:tcW w:w="19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证书编号</w:t>
            </w:r>
          </w:p>
        </w:tc>
        <w:tc>
          <w:tcPr>
            <w:tcW w:w="13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bl>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注：需提供服务人员身份证（复印件）、专业技术资格证书（复印件）、社保证明材料（社保网站打印，能体现近三个月的缴费情况），所有证件复印件需加盖报价人公章。</w:t>
      </w: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报价单位（盖章）：      </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pPr>
        <w:spacing w:line="600" w:lineRule="exact"/>
        <w:jc w:val="left"/>
        <w:rPr>
          <w:rFonts w:ascii="仿宋_GB2312" w:hAnsi="仿宋_GB2312" w:eastAsia="仿宋_GB2312" w:cs="仿宋_GB2312"/>
          <w:bCs/>
          <w:color w:val="000000"/>
          <w:kern w:val="1"/>
          <w:sz w:val="32"/>
          <w:szCs w:val="32"/>
        </w:rPr>
      </w:pPr>
    </w:p>
    <w:p>
      <w:pPr>
        <w:spacing w:line="560" w:lineRule="exact"/>
        <w:ind w:right="150" w:firstLine="600"/>
        <w:jc w:val="left"/>
        <w:rPr>
          <w:rFonts w:ascii="仿宋" w:hAnsi="仿宋" w:eastAsia="仿宋" w:cs="仿宋"/>
          <w:sz w:val="30"/>
          <w:szCs w:val="30"/>
        </w:rPr>
      </w:pPr>
    </w:p>
    <w:p>
      <w:pPr>
        <w:adjustRightInd w:val="0"/>
        <w:snapToGrid w:val="0"/>
        <w:spacing w:line="560" w:lineRule="exact"/>
        <w:ind w:firstLine="640" w:firstLineChars="200"/>
        <w:jc w:val="left"/>
        <w:rPr>
          <w:rFonts w:ascii="仿宋_GB2312" w:hAnsi="仿宋_GB2312" w:eastAsia="仿宋_GB2312" w:cs="仿宋_GB2312"/>
          <w:kern w:val="0"/>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p>
</w:ftr>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